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B9" w:rsidRDefault="00AB0F79" w:rsidP="00975AB9">
      <w:pPr>
        <w:spacing w:after="0" w:line="240" w:lineRule="auto"/>
        <w:ind w:left="5387"/>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rsidR="00975AB9" w:rsidRDefault="00975AB9" w:rsidP="00975AB9">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 xml:space="preserve">    Załącznik nr 8 do Zapytania</w:t>
      </w:r>
    </w:p>
    <w:p w:rsidR="00975AB9" w:rsidRPr="00975AB9" w:rsidRDefault="00975AB9" w:rsidP="00975AB9">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 xml:space="preserve">     </w:t>
      </w:r>
      <w:r w:rsidRPr="00E13FBC">
        <w:rPr>
          <w:rFonts w:ascii="Times New Roman" w:hAnsi="Times New Roman" w:cs="Times New Roman"/>
          <w:b/>
          <w:sz w:val="24"/>
          <w:szCs w:val="24"/>
        </w:rPr>
        <w:t>Zamawiający</w:t>
      </w:r>
    </w:p>
    <w:p w:rsidR="00975AB9" w:rsidRDefault="00975AB9" w:rsidP="00975AB9">
      <w:pPr>
        <w:pStyle w:val="Akapitzlist"/>
        <w:shd w:val="clear" w:color="auto" w:fill="FFFFFF"/>
        <w:spacing w:after="0" w:line="240" w:lineRule="auto"/>
        <w:ind w:left="5387" w:right="11"/>
        <w:jc w:val="both"/>
        <w:rPr>
          <w:rFonts w:ascii="Times New Roman" w:hAnsi="Times New Roman" w:cs="Times New Roman"/>
          <w:sz w:val="24"/>
          <w:szCs w:val="24"/>
        </w:rPr>
      </w:pPr>
      <w:r>
        <w:rPr>
          <w:rFonts w:ascii="Times New Roman" w:hAnsi="Times New Roman" w:cs="Times New Roman"/>
          <w:sz w:val="24"/>
          <w:szCs w:val="24"/>
        </w:rPr>
        <w:t xml:space="preserve">     </w:t>
      </w:r>
      <w:r w:rsidRPr="00063CF4">
        <w:rPr>
          <w:rFonts w:ascii="Times New Roman" w:hAnsi="Times New Roman" w:cs="Times New Roman"/>
          <w:sz w:val="24"/>
          <w:szCs w:val="24"/>
        </w:rPr>
        <w:t xml:space="preserve">Gmina </w:t>
      </w:r>
      <w:r>
        <w:rPr>
          <w:rFonts w:ascii="Times New Roman" w:hAnsi="Times New Roman" w:cs="Times New Roman"/>
          <w:sz w:val="24"/>
          <w:szCs w:val="24"/>
        </w:rPr>
        <w:t>Ułęż</w:t>
      </w:r>
    </w:p>
    <w:p w:rsidR="00975AB9" w:rsidRPr="008A1434" w:rsidRDefault="00975AB9" w:rsidP="00975AB9">
      <w:pPr>
        <w:pStyle w:val="Akapitzlist"/>
        <w:shd w:val="clear" w:color="auto" w:fill="FFFFFF"/>
        <w:spacing w:after="0" w:line="240" w:lineRule="auto"/>
        <w:ind w:left="5387" w:right="11"/>
        <w:jc w:val="both"/>
        <w:rPr>
          <w:rFonts w:ascii="Times New Roman" w:hAnsi="Times New Roman" w:cs="Times New Roman"/>
          <w:sz w:val="24"/>
          <w:szCs w:val="24"/>
        </w:rPr>
      </w:pPr>
      <w:r>
        <w:rPr>
          <w:rFonts w:ascii="Times New Roman" w:hAnsi="Times New Roman" w:cs="Times New Roman"/>
          <w:sz w:val="24"/>
          <w:szCs w:val="24"/>
        </w:rPr>
        <w:t xml:space="preserve">     </w:t>
      </w:r>
      <w:r w:rsidRPr="008A1434">
        <w:rPr>
          <w:rFonts w:ascii="Times New Roman" w:hAnsi="Times New Roman" w:cs="Times New Roman"/>
          <w:sz w:val="24"/>
          <w:szCs w:val="24"/>
        </w:rPr>
        <w:t>Ułęż 168</w:t>
      </w:r>
    </w:p>
    <w:p w:rsidR="003C6408" w:rsidRDefault="00975AB9" w:rsidP="00975AB9">
      <w:pPr>
        <w:pStyle w:val="Tytu"/>
        <w:tabs>
          <w:tab w:val="left" w:pos="0"/>
        </w:tabs>
        <w:jc w:val="both"/>
        <w:rPr>
          <w:rFonts w:asciiTheme="minorHAnsi" w:hAnsiTheme="minorHAnsi" w:cstheme="minorHAnsi"/>
          <w:b/>
          <w:bCs/>
          <w:sz w:val="22"/>
          <w:szCs w:val="2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1434">
        <w:rPr>
          <w:rFonts w:ascii="Times New Roman" w:hAnsi="Times New Roman" w:cs="Times New Roman"/>
          <w:sz w:val="24"/>
          <w:szCs w:val="24"/>
        </w:rPr>
        <w:t>08-504 Ułęż</w:t>
      </w:r>
    </w:p>
    <w:p w:rsidR="003C6408" w:rsidRDefault="00975AB9">
      <w:pPr>
        <w:pStyle w:val="Tytu"/>
        <w:jc w:val="right"/>
        <w:rPr>
          <w:rFonts w:asciiTheme="minorHAnsi" w:hAnsiTheme="minorHAnsi" w:cstheme="minorHAnsi"/>
          <w:b/>
          <w:bCs/>
          <w:sz w:val="22"/>
          <w:szCs w:val="22"/>
        </w:rPr>
      </w:pP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rsidR="003C6408" w:rsidRPr="00975AB9" w:rsidRDefault="00AB0F79">
      <w:pPr>
        <w:pStyle w:val="Tytu"/>
        <w:jc w:val="center"/>
        <w:rPr>
          <w:rFonts w:ascii="Times New Roman" w:hAnsi="Times New Roman" w:cs="Times New Roman"/>
          <w:b/>
          <w:bCs/>
          <w:sz w:val="28"/>
          <w:szCs w:val="28"/>
        </w:rPr>
      </w:pPr>
      <w:r w:rsidRPr="00975AB9">
        <w:rPr>
          <w:rFonts w:ascii="Times New Roman" w:hAnsi="Times New Roman" w:cs="Times New Roman"/>
          <w:b/>
          <w:bCs/>
          <w:sz w:val="28"/>
          <w:szCs w:val="28"/>
        </w:rPr>
        <w:t>Wymagania dla próbki przedmiotu zamówienia oraz zasady i zakres jej badania</w:t>
      </w:r>
    </w:p>
    <w:p w:rsidR="003C6408" w:rsidRPr="00975AB9" w:rsidRDefault="003C6408">
      <w:pPr>
        <w:rPr>
          <w:rFonts w:ascii="Times New Roman" w:hAnsi="Times New Roman" w:cs="Times New Roman"/>
        </w:rPr>
      </w:pPr>
    </w:p>
    <w:p w:rsidR="003C6408" w:rsidRPr="00975AB9" w:rsidRDefault="00AB0F79">
      <w:pPr>
        <w:pStyle w:val="Heading1"/>
        <w:numPr>
          <w:ilvl w:val="0"/>
          <w:numId w:val="1"/>
        </w:numPr>
        <w:ind w:left="0" w:firstLine="0"/>
        <w:rPr>
          <w:rFonts w:ascii="Times New Roman" w:hAnsi="Times New Roman" w:cs="Times New Roman"/>
          <w:b/>
          <w:color w:val="auto"/>
          <w:sz w:val="24"/>
          <w:szCs w:val="24"/>
        </w:rPr>
      </w:pPr>
      <w:r w:rsidRPr="00975AB9">
        <w:rPr>
          <w:rFonts w:ascii="Times New Roman" w:hAnsi="Times New Roman" w:cs="Times New Roman"/>
          <w:b/>
          <w:color w:val="auto"/>
          <w:sz w:val="24"/>
          <w:szCs w:val="24"/>
        </w:rPr>
        <w:t>Wymagania ogólne</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Zamawiający może wezwać Wykonawcę, przed podpisaniem umowy, aby Wykonawca złożył próbki oprogramowania. Zamawiający w wezwaniu wyznaczy termin 4 dni roboczych na złożenie próbki na dyskach zewnętrznych, które Wykonawca dostarczy na swój koszt do siedziby Zamawiającego.</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Celem złożenia próbki jest potwierdzenie, poprzez jej badanie i wyjaśnianie,</w:t>
      </w:r>
      <w:r w:rsidRPr="00975AB9">
        <w:rPr>
          <w:rFonts w:ascii="Times New Roman" w:hAnsi="Times New Roman" w:cs="Times New Roman"/>
          <w:i/>
        </w:rPr>
        <w:t xml:space="preserve"> </w:t>
      </w:r>
      <w:r w:rsidRPr="00975AB9">
        <w:rPr>
          <w:rFonts w:ascii="Times New Roman" w:hAnsi="Times New Roman" w:cs="Times New Roman"/>
        </w:rPr>
        <w:t>że oferowane oprogramowanie odpowiada wymaganiom określonym przez Zamawiającego w Opisie Przedmiotu Zamówienia.</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Próbka ma zawierać oprogramowanie zaoferowane przez Wykonawcę w ramach zamówienia, tj. oprogramowanie Portalu Interesanta oraz systemy dziedzinowe.</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Zamawiający wymaga, aby Wykonawca złożył dwa dyski (podstawowy i zapasowy), na których przekaże próbki oprogramowania, o którym mowa w ust. 3 w postaci wirtualnej maszyny z zainstalowanym systemem operacyjnym, bazodanowym i oferowanym przez Wykonawcę pakietem oprogramowania zasilonym przykładowymi danymi, które umożliwią przeprowadzenie procedury badania próbki w zakresie i na zasadach opisanych w niniejszym dokumencie.</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Przykładowe dane nie mogą naruszać przepisów ustawy o ochronie danych osobowych. W przypadku ich naruszenia, odpowiedzialnym jest  wyłącznie Wykonawca.</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Próbka musi zawierać instrukcję umożliwiającą wstępne badanie jej zawartości. Instrukcja musi umożliwić Zamawiającemu sprawdzenie kompletności oprogramowania. W tym celu instrukcja ta musi zawierać wskazówki dotyczące uruchomienia maszyny wirtualnej, loginy i hasła niezbędne do uruchomienia maszyn i zawartego na niej oprogramowania oraz wskazówki dotyczące lokalizacji i sposobu uruchomienia poszczególnych elementów oprogramowania. Instrukcja powinna zawierać ponadto informację o wykorzystywanych na jej potrzeby instancjach bazy danych wraz z podaniem dla każdej bazy: nazwy, zastosowanego rozwiązania serwera baz danych SQL i przez które moduły testowanego oprogramowania dana baza jest wykorzystywana.</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Próbka musi zawierać na jednym dysku (dysk podstawowy) wszystkie systemy wskazane w ust. 2 oraz instrukcję, o której mowa w ust. 6. Zamawiający dopuszcza zainstalowanie na dostarczonym dysku zewnętrznym więcej niż jednej maszyny wirtualnej. Drugi dysk zewnętrzny (dysk zapasowy) powinien posiadać identyczną zawartość jak dysk podstawowy, ponieważ stanowi on jego kopię.</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 xml:space="preserve">Jeżeli wstępne badanie zawartości przeprowadzone na podstawie instrukcji wykaże, że próbka nie zawiera wszystkich systemów wskazanych w ust. 2 lub też jeżeli próbka nie zawiera instrukcji Zamawiający uzna, że próbka jest niekompletna wezwie Wykonawcę do złożenia próbki potwierdzającej wymagania Zamawiającego w terminie nie krótszym niż 5 dni. </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W celu przeprowadzenia badania próbki, Zamawiający wezwie Wykonawcę do dokonania prezentacji zawartości próbki złożonej na wezwanie Zamawiającego. Prezentacja zostanie przeprowadzona przez Wykonawcę w siedzibie Zamawiającego, zgodnie z procedurą określoną w Rozdziale 2 – Opis procedury badania.</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lastRenderedPageBreak/>
        <w:t>Oceny czy oferowane dostawy (Oprogramowanie) odpowiadają wymaganiom określonym przez Zamawiającego dokona komisja przetargowa na podstawie prezentacji zawartości złożonej próbki przeprowadzonej przez Wykonawcę.</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Termin (dzień i godzina) przeprowadzenia badania próbki podany zostanie Wykonawcy co najmniej na 4 dni przed planowanym terminem badania próbki. Wykonawca zostanie powiadomiony o terminie prezentacji, z uwzględnieniem zasad porozumiewania się Zamawiającego z Wykonawcą opisanych w Zapytaniu ofertowym.</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Dostarczenie sprawnych dysków przenośnych jest obowiązkiem Wykonawcy, a ich parametry muszą pozwalać na sprawne funkcjonowanie wirtualnej maszyny z zainstalowanym systemem operacyjnym, oferowanym oprogramowaniem systemu i przykładowymi danymi.</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Zamawiający zaleca, aby dyski przenośne były złożone w kopercie z oznakowaniem: Dysk 1 – dysk podstawowy – próbka; Dysk 2 – dysk zapasowy - próbka (kopia). Koperta powinna być opatrzona także nazwą i adresem Wykonawcy.</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Zamawiający dopuszcza prezentację próbki oraz udzielanie wyjaśnień do próbki przez Wykonawcę za pomocą środków zdalnej komunikacji. W celu przeprowadzenia badania z wykorzystaniem środków zdalnej komunikacji Wykonawca zgłasza zamiar sposobu przeprowadzenia badania na co najmniej 4 dni robocze przed terminem badania, ze wskazaniem narzędzi i metod, które zamierza wykorzystać do przeprowadzenia prezentacji.</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 xml:space="preserve">Badanie próbki z wykorzystaniem środków zdalnej komunikacji nie może wiązać się z dodatkowymi kosztami dla Zamawiającego, w szczególności nie może on być zobowiązany do nabywania dodatkowych usług, licencji na oprogramowanie itd. </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Badanie próbki z wykorzystaniem środków zdalnej komunikacji musi być przeprowadzone zgodnie z pozostałymi postanowieniami niniejszego Załącznika do Zapytania ofertowego w szczególności musi być prowadzone w oparciu o nośniki złożone przez Wykonawcę w odpowiedzi na wezwanie Zamawiającego.</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 xml:space="preserve">Jeżeli podczas badania próbki którakolwiek funkcjonalność nie zostanie zademonstrowana (nie zostanie zademonstrowany jeden lub więcej element do zrealizowania zgodnie z przedstawionymi scenariuszem lub też sposób jego realizacji będzie stał w sprzeczności z OPZ lub prezentacja elementu ujawni braki w funkcjonalności określonej w OPZ), Zamawiający uzna, że treść oferty niezgodna z warunkami zamówienia i odrzuci ofertę Wykonawcy </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W przypadku, gdy Wykonawca nie stawi się na prezentację lub odmówi jej przeprowadzenia i w konsekwencji nie przeprowadzi prezentacji, wówczas Zamawiający uzna, że Wykonawca nie złożył w przewidzianym terminie przedmiotowego środka dowodowego i oferta zostanie odrzucona.</w:t>
      </w:r>
    </w:p>
    <w:p w:rsidR="003C6408" w:rsidRPr="00975AB9" w:rsidRDefault="00AB0F79">
      <w:pPr>
        <w:pStyle w:val="Akapitzlist"/>
        <w:numPr>
          <w:ilvl w:val="0"/>
          <w:numId w:val="2"/>
        </w:numPr>
        <w:spacing w:before="0" w:after="160"/>
        <w:ind w:left="357" w:hanging="357"/>
        <w:jc w:val="both"/>
        <w:rPr>
          <w:rFonts w:ascii="Times New Roman" w:hAnsi="Times New Roman" w:cs="Times New Roman"/>
        </w:rPr>
      </w:pPr>
      <w:r w:rsidRPr="00975AB9">
        <w:rPr>
          <w:rFonts w:ascii="Times New Roman" w:hAnsi="Times New Roman" w:cs="Times New Roman"/>
        </w:rPr>
        <w:t>Bezpośrednio po przeprowadzeniu badania próbki, dostarczone dyski podlegają komisyjnemu wykasowaniu zawartości oraz zwrotowi Wykonawcy. Na tą okoliczność zostanie sporządzony stosowny protokół podpisany przez osoby reprezentujące Zamawiającego oraz Wykonawcę.</w:t>
      </w:r>
    </w:p>
    <w:p w:rsidR="003C6408" w:rsidRPr="00975AB9" w:rsidRDefault="00AB0F79">
      <w:pPr>
        <w:pStyle w:val="Heading1"/>
        <w:numPr>
          <w:ilvl w:val="0"/>
          <w:numId w:val="1"/>
        </w:numPr>
        <w:ind w:left="0" w:firstLine="0"/>
        <w:rPr>
          <w:rFonts w:ascii="Times New Roman" w:hAnsi="Times New Roman" w:cs="Times New Roman"/>
          <w:b/>
          <w:color w:val="auto"/>
          <w:sz w:val="22"/>
          <w:szCs w:val="22"/>
        </w:rPr>
      </w:pPr>
      <w:r w:rsidRPr="00975AB9">
        <w:rPr>
          <w:rFonts w:ascii="Times New Roman" w:hAnsi="Times New Roman" w:cs="Times New Roman"/>
          <w:b/>
          <w:color w:val="auto"/>
          <w:sz w:val="22"/>
          <w:szCs w:val="22"/>
        </w:rPr>
        <w:t>Opis procedury badania</w:t>
      </w:r>
    </w:p>
    <w:p w:rsidR="003C6408" w:rsidRPr="00975AB9" w:rsidRDefault="00AB0F79">
      <w:pPr>
        <w:pStyle w:val="Akapitzlist"/>
        <w:numPr>
          <w:ilvl w:val="0"/>
          <w:numId w:val="3"/>
        </w:numPr>
        <w:spacing w:before="0" w:after="160"/>
        <w:jc w:val="both"/>
        <w:rPr>
          <w:rFonts w:ascii="Times New Roman" w:hAnsi="Times New Roman" w:cs="Times New Roman"/>
        </w:rPr>
      </w:pPr>
      <w:r w:rsidRPr="00975AB9">
        <w:rPr>
          <w:rFonts w:ascii="Times New Roman" w:hAnsi="Times New Roman" w:cs="Times New Roman"/>
        </w:rPr>
        <w:t>Badanie próbki odbędzie się w siedzibie Zamawiającego z wykorzystaniem wirtualnej maszyny z zainstalowanym systemem operacyjnym i oprogramowaniem wraz z przykładowymi danymi znajdującymi się na dysku przenośnym, dostarczonym przez Wykonawcę. Wykonawca zapewni urządzenia mobilne na którym będzie przeprowadzał próbkowanie w zakresie wymaganym w scenariuszem oraz zapewni urządzenia peryferyjne, jeśli są konieczne do zademonstrowania funkcjonalności systemu. Dopuszczalne jest testowanie aplikacji i stron mobilnych w środowisku emulującym pracę tych urządzeń na komputerze służącym do próbkowania, pod warunkiem zgodności emulatora z ogólnodostępną na rynku wersją systemu (Android, IOS).</w:t>
      </w:r>
    </w:p>
    <w:p w:rsidR="003C6408" w:rsidRPr="00975AB9" w:rsidRDefault="00AB0F79">
      <w:pPr>
        <w:pStyle w:val="Akapitzlist"/>
        <w:numPr>
          <w:ilvl w:val="0"/>
          <w:numId w:val="3"/>
        </w:numPr>
        <w:spacing w:before="0" w:after="160"/>
        <w:jc w:val="both"/>
        <w:rPr>
          <w:rFonts w:ascii="Times New Roman" w:hAnsi="Times New Roman" w:cs="Times New Roman"/>
        </w:rPr>
      </w:pPr>
      <w:r w:rsidRPr="00975AB9">
        <w:rPr>
          <w:rFonts w:ascii="Times New Roman" w:hAnsi="Times New Roman" w:cs="Times New Roman"/>
        </w:rPr>
        <w:t>Każde badanie próbki różnych Wykonawców będzie przeprowadzane według tego samego scenariusza.</w:t>
      </w:r>
    </w:p>
    <w:p w:rsidR="003C6408" w:rsidRPr="00975AB9" w:rsidRDefault="00AB0F79">
      <w:pPr>
        <w:pStyle w:val="Akapitzlist"/>
        <w:numPr>
          <w:ilvl w:val="0"/>
          <w:numId w:val="3"/>
        </w:numPr>
        <w:spacing w:before="0" w:after="160"/>
        <w:jc w:val="both"/>
        <w:rPr>
          <w:rFonts w:ascii="Times New Roman" w:hAnsi="Times New Roman" w:cs="Times New Roman"/>
        </w:rPr>
      </w:pPr>
      <w:r w:rsidRPr="00975AB9">
        <w:rPr>
          <w:rFonts w:ascii="Times New Roman" w:hAnsi="Times New Roman" w:cs="Times New Roman"/>
        </w:rPr>
        <w:t>Zamawiający zapewni Wykonawcy na czas przeprowadzenia prezentacji próbki dostęp do Internetu lub zezwoli na wykorzystanie punktu dostępowego zapewnionego we własnym zakresie przez Wykonawcę. Korzystanie z połączenia internetowego jest dozwolone tylko i wyłącznie dla tych kroków scenariusza, gdzie wyraźnie to zaznaczono.</w:t>
      </w:r>
    </w:p>
    <w:p w:rsidR="003C6408" w:rsidRPr="00975AB9" w:rsidRDefault="00AB0F79">
      <w:pPr>
        <w:pStyle w:val="Akapitzlist"/>
        <w:numPr>
          <w:ilvl w:val="0"/>
          <w:numId w:val="3"/>
        </w:numPr>
        <w:spacing w:before="0" w:after="160"/>
        <w:jc w:val="both"/>
        <w:rPr>
          <w:rFonts w:ascii="Times New Roman" w:hAnsi="Times New Roman" w:cs="Times New Roman"/>
        </w:rPr>
      </w:pPr>
      <w:r w:rsidRPr="00975AB9">
        <w:rPr>
          <w:rFonts w:ascii="Times New Roman" w:hAnsi="Times New Roman" w:cs="Times New Roman"/>
        </w:rPr>
        <w:lastRenderedPageBreak/>
        <w:t>Wykonawca zobowiązany jest do udzielenia Zamawiającemu wszelkich wyjaśnień umożliwiających zbadanie, czy oferowane oprogramowanie posiada wymagane cechy i 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Zamawiający ma prawo sprawdzać podczas badania próbki stan połączenia internetowego w celu sprawdzenia, czy prezentacja prowadzona jest w oparciu o złożoną próbkę, a nie zasoby zlokalizowane w sieci Internet.</w:t>
      </w:r>
    </w:p>
    <w:p w:rsidR="003C6408" w:rsidRPr="00975AB9" w:rsidRDefault="00AB0F79">
      <w:pPr>
        <w:pStyle w:val="Akapitzlist"/>
        <w:numPr>
          <w:ilvl w:val="0"/>
          <w:numId w:val="3"/>
        </w:numPr>
        <w:spacing w:before="0" w:after="160"/>
        <w:jc w:val="both"/>
        <w:rPr>
          <w:rFonts w:ascii="Times New Roman" w:hAnsi="Times New Roman" w:cs="Times New Roman"/>
        </w:rPr>
      </w:pPr>
      <w:r w:rsidRPr="00975AB9">
        <w:rPr>
          <w:rFonts w:ascii="Times New Roman" w:hAnsi="Times New Roman" w:cs="Times New Roman"/>
        </w:rPr>
        <w:t xml:space="preserve">W przypadku awarii, błędu oprogramowania lub dysku przenośnego, Wykonawca ma prawo do przerwy w badaniu próbki w celu naprawienia awarii, błędu lub dysku przenośnego. W takim przypadku, sumaryczna przerwa w badaniu próbki nie może trwać dłużej niż godzinę, łącznie dla wszystkich awarii, które mogą wystąpić w toku prezentacji. Nieusunięcie awarii, błędu oprogramowania lub dysków przenośnych powoduje zakończenie badania próbki i uznanie przez Zamawiającego, że oprogramowanie nie spełnia wymagań określonych w opisie przedmiotu zamówienia. W przypadku awarii komputera, do którego jest podłączony dysk przenośny, Wykonawca ma prawo do przerwy w badaniu próbki w celu naprawy komputera lub podłączenia dysku do innego komputera. Zapewnienie sprawnego komputera należy do obowiązków Wykonawcy. </w:t>
      </w:r>
    </w:p>
    <w:p w:rsidR="003C6408" w:rsidRPr="00975AB9" w:rsidRDefault="00AB0F79">
      <w:pPr>
        <w:pStyle w:val="Akapitzlist"/>
        <w:numPr>
          <w:ilvl w:val="0"/>
          <w:numId w:val="3"/>
        </w:numPr>
        <w:spacing w:before="0" w:after="160"/>
        <w:jc w:val="both"/>
        <w:rPr>
          <w:rFonts w:ascii="Times New Roman" w:hAnsi="Times New Roman" w:cs="Times New Roman"/>
        </w:rPr>
      </w:pPr>
      <w:r w:rsidRPr="00975AB9">
        <w:rPr>
          <w:rFonts w:ascii="Times New Roman" w:hAnsi="Times New Roman" w:cs="Times New Roman"/>
        </w:rPr>
        <w:t xml:space="preserve">W przypadku błędnego funkcjonowania metody uwierzytelnienia za pośrednictwem Profilu Zaufanego podczas prezentacji, Zamawiający w trakcie prezentacji sprawdzi działanie Profilu Zaufanego we własnym zakresie i jeśli nie jest to błąd w dostarczonym oprogramowaniu Wykonawcy, wyznaczy dodatkowy termin na przeprowadzenie prezentacji. </w:t>
      </w:r>
    </w:p>
    <w:p w:rsidR="003C6408" w:rsidRPr="00975AB9" w:rsidRDefault="00AB0F79">
      <w:pPr>
        <w:pStyle w:val="Akapitzlist"/>
        <w:numPr>
          <w:ilvl w:val="0"/>
          <w:numId w:val="3"/>
        </w:numPr>
        <w:spacing w:before="0" w:after="0" w:line="276" w:lineRule="auto"/>
        <w:jc w:val="both"/>
        <w:rPr>
          <w:rFonts w:ascii="Times New Roman" w:hAnsi="Times New Roman" w:cs="Times New Roman"/>
        </w:rPr>
      </w:pPr>
      <w:r w:rsidRPr="00975AB9">
        <w:rPr>
          <w:rFonts w:ascii="Times New Roman" w:hAnsi="Times New Roman" w:cs="Times New Roman"/>
        </w:rPr>
        <w:t>Prezentacja funkcji związanych z drukowaniem może być prezentowana poprzez wydruk do pliku PDF.</w:t>
      </w:r>
    </w:p>
    <w:p w:rsidR="003C6408" w:rsidRPr="00975AB9" w:rsidRDefault="00AB0F79">
      <w:pPr>
        <w:pStyle w:val="Akapitzlist"/>
        <w:numPr>
          <w:ilvl w:val="0"/>
          <w:numId w:val="3"/>
        </w:numPr>
        <w:spacing w:before="0" w:after="0" w:line="276" w:lineRule="auto"/>
        <w:jc w:val="both"/>
        <w:rPr>
          <w:rFonts w:ascii="Times New Roman" w:hAnsi="Times New Roman" w:cs="Times New Roman"/>
        </w:rPr>
      </w:pPr>
      <w:r w:rsidRPr="00975AB9">
        <w:rPr>
          <w:rFonts w:ascii="Times New Roman" w:hAnsi="Times New Roman" w:cs="Times New Roman"/>
        </w:rPr>
        <w:t>Protokół sporządzony z prezentacji zawiera wskazania, jakie oferowane przez Wykonawcę oprogramowanie zostało zaprezentowane tj. nazwa oprogramowania, wskazanie autora / producenta oraz wynik prezentacji dla każdego z kroków scenariusza.</w:t>
      </w:r>
    </w:p>
    <w:p w:rsidR="003C6408" w:rsidRPr="00975AB9" w:rsidRDefault="00AB0F79">
      <w:pPr>
        <w:pStyle w:val="Akapitzlist"/>
        <w:numPr>
          <w:ilvl w:val="0"/>
          <w:numId w:val="3"/>
        </w:numPr>
        <w:spacing w:before="0" w:after="160"/>
        <w:jc w:val="both"/>
        <w:rPr>
          <w:rFonts w:ascii="Times New Roman" w:hAnsi="Times New Roman" w:cs="Times New Roman"/>
        </w:rPr>
      </w:pPr>
      <w:r w:rsidRPr="00975AB9">
        <w:rPr>
          <w:rFonts w:ascii="Times New Roman" w:hAnsi="Times New Roman" w:cs="Times New Roman"/>
        </w:rPr>
        <w:t>Zamawiający dopuszcza udział innych Wykonawców w prezentacji próbki jedynie w sytuacji, jeśli Wykonawca, który został wezwany do prezentacji próbki oferowanego systemu nie zastrzegł, że próbka oprogramowania stanowi tajemnicę przedsiębiorstwa w rozumieniu przepisów ustawy o zwalczaniu nieuczciwej konkurencji.</w:t>
      </w:r>
    </w:p>
    <w:p w:rsidR="003C6408" w:rsidRPr="00975AB9" w:rsidRDefault="00AB0F79">
      <w:pPr>
        <w:pStyle w:val="Akapitzlist"/>
        <w:numPr>
          <w:ilvl w:val="0"/>
          <w:numId w:val="3"/>
        </w:numPr>
        <w:spacing w:before="0" w:after="160"/>
        <w:jc w:val="both"/>
        <w:rPr>
          <w:rFonts w:ascii="Times New Roman" w:hAnsi="Times New Roman" w:cs="Times New Roman"/>
        </w:rPr>
      </w:pPr>
      <w:r w:rsidRPr="00975AB9">
        <w:rPr>
          <w:rFonts w:ascii="Times New Roman" w:hAnsi="Times New Roman" w:cs="Times New Roman"/>
        </w:rPr>
        <w:t>W czasie prezentacji osoby prezentujące system informatyczny muszą posiadać pełnomocnictwo udzielone przez Wykonawcę do przeprowadzenia tej prezentacji. Pełnomocnictwo może wynikać z dokumentów złożonych w ofercie lub może być doręczone Zamawiającemu przed rozpoczęciem prezentacji (oryginał lub kopia poświadczona za zgodność z oryginałem).</w:t>
      </w:r>
    </w:p>
    <w:p w:rsidR="003C6408" w:rsidRPr="00975AB9" w:rsidRDefault="00AB0F79">
      <w:pPr>
        <w:pStyle w:val="Akapitzlist"/>
        <w:numPr>
          <w:ilvl w:val="0"/>
          <w:numId w:val="3"/>
        </w:numPr>
        <w:spacing w:before="0" w:after="160"/>
        <w:jc w:val="both"/>
        <w:rPr>
          <w:rFonts w:ascii="Times New Roman" w:hAnsi="Times New Roman" w:cs="Times New Roman"/>
        </w:rPr>
      </w:pPr>
      <w:r w:rsidRPr="00975AB9">
        <w:rPr>
          <w:rFonts w:ascii="Times New Roman" w:hAnsi="Times New Roman" w:cs="Times New Roman"/>
        </w:rPr>
        <w:t>Zamawiający zastrzega sobie możliwość utrwalania na sprzęcie audiowizualnym przebiegu prezentacji.</w:t>
      </w:r>
      <w:r w:rsidRPr="00975AB9">
        <w:rPr>
          <w:rFonts w:ascii="Times New Roman" w:hAnsi="Times New Roman" w:cs="Times New Roman"/>
        </w:rPr>
        <w:br w:type="page"/>
      </w:r>
    </w:p>
    <w:p w:rsidR="003C6408" w:rsidRPr="00975AB9" w:rsidRDefault="003C6408">
      <w:pPr>
        <w:spacing w:before="0" w:after="160"/>
        <w:rPr>
          <w:rFonts w:ascii="Times New Roman" w:hAnsi="Times New Roman" w:cs="Times New Roman"/>
        </w:rPr>
      </w:pPr>
    </w:p>
    <w:p w:rsidR="003C6408" w:rsidRPr="00975AB9" w:rsidRDefault="003C6408">
      <w:pPr>
        <w:rPr>
          <w:rFonts w:ascii="Times New Roman" w:hAnsi="Times New Roman" w:cs="Times New Roman"/>
        </w:rPr>
      </w:pPr>
    </w:p>
    <w:p w:rsidR="003C6408" w:rsidRPr="00975AB9" w:rsidRDefault="00AB0F79">
      <w:pPr>
        <w:pStyle w:val="Heading1"/>
        <w:numPr>
          <w:ilvl w:val="0"/>
          <w:numId w:val="1"/>
        </w:numPr>
        <w:ind w:left="0" w:firstLine="0"/>
        <w:rPr>
          <w:rFonts w:ascii="Times New Roman" w:hAnsi="Times New Roman" w:cs="Times New Roman"/>
          <w:b/>
          <w:color w:val="auto"/>
          <w:sz w:val="22"/>
          <w:szCs w:val="22"/>
        </w:rPr>
      </w:pPr>
      <w:r w:rsidRPr="00975AB9">
        <w:rPr>
          <w:rFonts w:ascii="Times New Roman" w:hAnsi="Times New Roman" w:cs="Times New Roman"/>
          <w:b/>
          <w:color w:val="auto"/>
          <w:sz w:val="22"/>
          <w:szCs w:val="22"/>
        </w:rPr>
        <w:t>Scenariusz badania próbki</w:t>
      </w:r>
    </w:p>
    <w:p w:rsidR="003C6408" w:rsidRPr="00975AB9" w:rsidRDefault="00AB0F79">
      <w:pPr>
        <w:pStyle w:val="Heading2"/>
        <w:numPr>
          <w:ilvl w:val="1"/>
          <w:numId w:val="4"/>
        </w:numPr>
        <w:rPr>
          <w:rFonts w:ascii="Times New Roman" w:hAnsi="Times New Roman" w:cs="Times New Roman"/>
          <w:b/>
          <w:color w:val="auto"/>
          <w:sz w:val="22"/>
          <w:szCs w:val="22"/>
        </w:rPr>
      </w:pPr>
      <w:r w:rsidRPr="00975AB9">
        <w:rPr>
          <w:rFonts w:ascii="Times New Roman" w:hAnsi="Times New Roman" w:cs="Times New Roman"/>
          <w:b/>
          <w:color w:val="auto"/>
          <w:sz w:val="22"/>
          <w:szCs w:val="22"/>
        </w:rPr>
        <w:t>Obsługa interesanta przez Internet</w:t>
      </w:r>
    </w:p>
    <w:tbl>
      <w:tblPr>
        <w:tblW w:w="5000" w:type="pct"/>
        <w:tblLayout w:type="fixed"/>
        <w:tblLook w:val="04A0"/>
      </w:tblPr>
      <w:tblGrid>
        <w:gridCol w:w="643"/>
        <w:gridCol w:w="8153"/>
        <w:gridCol w:w="1624"/>
      </w:tblGrid>
      <w:tr w:rsidR="003C6408" w:rsidRPr="00975AB9">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408" w:rsidRPr="00975AB9" w:rsidRDefault="00AB0F79">
            <w:pPr>
              <w:widowControl w:val="0"/>
              <w:spacing w:before="0" w:after="0" w:line="240" w:lineRule="auto"/>
              <w:jc w:val="center"/>
              <w:rPr>
                <w:rFonts w:ascii="Times New Roman" w:hAnsi="Times New Roman" w:cs="Times New Roman"/>
                <w:b/>
              </w:rPr>
            </w:pPr>
            <w:r w:rsidRPr="00975AB9">
              <w:rPr>
                <w:rFonts w:ascii="Times New Roman" w:hAnsi="Times New Roman" w:cs="Times New Roman"/>
                <w:b/>
              </w:rPr>
              <w:t>Lp.</w:t>
            </w:r>
          </w:p>
        </w:tc>
        <w:tc>
          <w:tcPr>
            <w:tcW w:w="7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408" w:rsidRPr="00975AB9" w:rsidRDefault="00AB0F79">
            <w:pPr>
              <w:widowControl w:val="0"/>
              <w:spacing w:before="0" w:after="0" w:line="240" w:lineRule="auto"/>
              <w:jc w:val="center"/>
              <w:rPr>
                <w:rFonts w:ascii="Times New Roman" w:hAnsi="Times New Roman" w:cs="Times New Roman"/>
                <w:b/>
              </w:rPr>
            </w:pPr>
            <w:r w:rsidRPr="00975AB9">
              <w:rPr>
                <w:rFonts w:ascii="Times New Roman" w:hAnsi="Times New Roman" w:cs="Times New Roman"/>
                <w:b/>
              </w:rPr>
              <w:t>Zakres prezentacji</w:t>
            </w:r>
          </w:p>
        </w:tc>
        <w:tc>
          <w:tcPr>
            <w:tcW w:w="15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408" w:rsidRPr="00975AB9" w:rsidRDefault="00AB0F79">
            <w:pPr>
              <w:widowControl w:val="0"/>
              <w:spacing w:before="0" w:after="0" w:line="240" w:lineRule="auto"/>
              <w:jc w:val="center"/>
              <w:rPr>
                <w:rFonts w:ascii="Times New Roman" w:hAnsi="Times New Roman" w:cs="Times New Roman"/>
                <w:b/>
              </w:rPr>
            </w:pPr>
            <w:r w:rsidRPr="00975AB9">
              <w:rPr>
                <w:rFonts w:ascii="Times New Roman" w:hAnsi="Times New Roman" w:cs="Times New Roman"/>
                <w:b/>
              </w:rPr>
              <w:t>Wynik testu</w:t>
            </w:r>
          </w:p>
          <w:p w:rsidR="003C6408" w:rsidRPr="00975AB9" w:rsidRDefault="00AB0F79">
            <w:pPr>
              <w:widowControl w:val="0"/>
              <w:spacing w:before="0" w:after="0" w:line="240" w:lineRule="auto"/>
              <w:jc w:val="center"/>
              <w:rPr>
                <w:rFonts w:ascii="Times New Roman" w:hAnsi="Times New Roman" w:cs="Times New Roman"/>
                <w:b/>
              </w:rPr>
            </w:pPr>
            <w:r w:rsidRPr="00975AB9">
              <w:rPr>
                <w:rFonts w:ascii="Times New Roman" w:hAnsi="Times New Roman" w:cs="Times New Roman"/>
                <w:b/>
              </w:rPr>
              <w:t>(spełnienie wymogów)</w:t>
            </w:r>
          </w:p>
          <w:p w:rsidR="003C6408" w:rsidRPr="00975AB9" w:rsidRDefault="00AB0F79">
            <w:pPr>
              <w:widowControl w:val="0"/>
              <w:spacing w:before="0" w:after="0" w:line="240" w:lineRule="auto"/>
              <w:jc w:val="center"/>
              <w:rPr>
                <w:rFonts w:ascii="Times New Roman" w:hAnsi="Times New Roman" w:cs="Times New Roman"/>
                <w:b/>
              </w:rPr>
            </w:pPr>
            <w:r w:rsidRPr="00975AB9">
              <w:rPr>
                <w:rFonts w:ascii="Times New Roman" w:hAnsi="Times New Roman" w:cs="Times New Roman"/>
                <w:b/>
              </w:rPr>
              <w:t>TAK/NIE</w:t>
            </w:r>
          </w:p>
        </w:tc>
      </w:tr>
      <w:tr w:rsidR="003C6408" w:rsidRPr="00975AB9">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Akapitzlist"/>
              <w:widowControl w:val="0"/>
              <w:numPr>
                <w:ilvl w:val="0"/>
                <w:numId w:val="5"/>
              </w:numPr>
              <w:spacing w:before="0" w:after="0" w:line="240" w:lineRule="auto"/>
              <w:ind w:left="0" w:firstLine="0"/>
              <w:rPr>
                <w:rFonts w:ascii="Times New Roman" w:hAnsi="Times New Roman" w:cs="Times New Roman"/>
              </w:rPr>
            </w:pPr>
          </w:p>
        </w:tc>
        <w:tc>
          <w:tcPr>
            <w:tcW w:w="7984"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AB0F79">
            <w:pPr>
              <w:widowControl w:val="0"/>
              <w:spacing w:before="0" w:after="0" w:line="240" w:lineRule="auto"/>
              <w:rPr>
                <w:rFonts w:ascii="Times New Roman" w:hAnsi="Times New Roman" w:cs="Times New Roman"/>
              </w:rPr>
            </w:pPr>
            <w:r w:rsidRPr="00975AB9">
              <w:rPr>
                <w:rFonts w:ascii="Times New Roman" w:hAnsi="Times New Roman" w:cs="Times New Roman"/>
              </w:rPr>
              <w:t>Zalogowanie interesanta na Portalu z wykorzystaniem Profilu Zaufanego. Identyfikacja zalogowanego.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widowControl w:val="0"/>
              <w:spacing w:before="0" w:after="0" w:line="240" w:lineRule="auto"/>
              <w:rPr>
                <w:rFonts w:ascii="Times New Roman" w:hAnsi="Times New Roman" w:cs="Times New Roman"/>
              </w:rPr>
            </w:pPr>
          </w:p>
        </w:tc>
      </w:tr>
      <w:tr w:rsidR="003C6408" w:rsidRPr="00975AB9">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Default"/>
              <w:widowControl w:val="0"/>
              <w:numPr>
                <w:ilvl w:val="0"/>
                <w:numId w:val="5"/>
              </w:numPr>
              <w:ind w:left="0" w:firstLine="0"/>
              <w:rPr>
                <w:rFonts w:ascii="Times New Roman" w:hAnsi="Times New Roman" w:cs="Times New Roman"/>
                <w:color w:val="auto"/>
                <w:sz w:val="22"/>
                <w:szCs w:val="22"/>
              </w:rPr>
            </w:pPr>
          </w:p>
        </w:tc>
        <w:tc>
          <w:tcPr>
            <w:tcW w:w="7984"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AB0F79">
            <w:pPr>
              <w:pStyle w:val="Default"/>
              <w:widowControl w:val="0"/>
              <w:rPr>
                <w:rFonts w:ascii="Times New Roman" w:hAnsi="Times New Roman" w:cs="Times New Roman"/>
                <w:color w:val="auto"/>
                <w:sz w:val="22"/>
                <w:szCs w:val="22"/>
              </w:rPr>
            </w:pPr>
            <w:r w:rsidRPr="00975AB9">
              <w:rPr>
                <w:rFonts w:ascii="Times New Roman" w:hAnsi="Times New Roman" w:cs="Times New Roman"/>
                <w:color w:val="auto"/>
                <w:sz w:val="22"/>
                <w:szCs w:val="22"/>
              </w:rPr>
              <w:t>Wyświetlenie listy zobowiązań (kartotek) interesanta / podatnika zalogowanego do portalu obejmującej co najmniej:</w:t>
            </w:r>
          </w:p>
          <w:p w:rsidR="003C6408" w:rsidRPr="00975AB9" w:rsidRDefault="00AB0F79">
            <w:pPr>
              <w:pStyle w:val="Default"/>
              <w:widowControl w:val="0"/>
              <w:numPr>
                <w:ilvl w:val="0"/>
                <w:numId w:val="6"/>
              </w:numPr>
              <w:rPr>
                <w:rFonts w:ascii="Times New Roman" w:hAnsi="Times New Roman" w:cs="Times New Roman"/>
                <w:color w:val="auto"/>
                <w:sz w:val="22"/>
                <w:szCs w:val="22"/>
              </w:rPr>
            </w:pPr>
            <w:r w:rsidRPr="00975AB9">
              <w:rPr>
                <w:rFonts w:ascii="Times New Roman" w:hAnsi="Times New Roman" w:cs="Times New Roman"/>
                <w:color w:val="auto"/>
                <w:sz w:val="22"/>
                <w:szCs w:val="22"/>
              </w:rPr>
              <w:t>łączne zobowiązanie w zakresie podatku rolnego, leśnego i od nieruchomości (2 kartoteki własna i będąca we współwłasności podatnika z inną osobą);</w:t>
            </w:r>
          </w:p>
          <w:p w:rsidR="003C6408" w:rsidRPr="00975AB9" w:rsidRDefault="00AB0F79">
            <w:pPr>
              <w:pStyle w:val="Default"/>
              <w:widowControl w:val="0"/>
              <w:numPr>
                <w:ilvl w:val="0"/>
                <w:numId w:val="6"/>
              </w:numPr>
              <w:rPr>
                <w:rFonts w:ascii="Times New Roman" w:hAnsi="Times New Roman" w:cs="Times New Roman"/>
                <w:color w:val="auto"/>
                <w:sz w:val="22"/>
                <w:szCs w:val="22"/>
              </w:rPr>
            </w:pPr>
            <w:r w:rsidRPr="00975AB9">
              <w:rPr>
                <w:rFonts w:ascii="Times New Roman" w:hAnsi="Times New Roman" w:cs="Times New Roman"/>
                <w:color w:val="auto"/>
                <w:sz w:val="22"/>
                <w:szCs w:val="22"/>
              </w:rPr>
              <w:t>opłatę za gospodarowanie odpadami;</w:t>
            </w:r>
          </w:p>
          <w:p w:rsidR="003C6408" w:rsidRPr="00975AB9" w:rsidRDefault="00AB0F79">
            <w:pPr>
              <w:pStyle w:val="Default"/>
              <w:widowControl w:val="0"/>
              <w:numPr>
                <w:ilvl w:val="0"/>
                <w:numId w:val="6"/>
              </w:numPr>
              <w:rPr>
                <w:rFonts w:ascii="Times New Roman" w:hAnsi="Times New Roman" w:cs="Times New Roman"/>
                <w:color w:val="auto"/>
                <w:sz w:val="22"/>
                <w:szCs w:val="22"/>
              </w:rPr>
            </w:pPr>
            <w:r w:rsidRPr="00975AB9">
              <w:rPr>
                <w:rFonts w:ascii="Times New Roman" w:hAnsi="Times New Roman" w:cs="Times New Roman"/>
                <w:color w:val="auto"/>
                <w:sz w:val="22"/>
                <w:szCs w:val="22"/>
              </w:rPr>
              <w:t>podatek od środków transportu.</w:t>
            </w:r>
          </w:p>
          <w:p w:rsidR="003C6408" w:rsidRPr="00975AB9" w:rsidRDefault="00AB0F79">
            <w:pPr>
              <w:widowControl w:val="0"/>
              <w:spacing w:before="0" w:after="0" w:line="240" w:lineRule="auto"/>
              <w:rPr>
                <w:rFonts w:ascii="Times New Roman" w:hAnsi="Times New Roman" w:cs="Times New Roman"/>
              </w:rPr>
            </w:pPr>
            <w:r w:rsidRPr="00975AB9">
              <w:rPr>
                <w:rFonts w:ascii="Times New Roman" w:hAnsi="Times New Roman" w:cs="Times New Roman"/>
              </w:rPr>
              <w:t xml:space="preserve">Wyświetlone kartoteki powinny zostać założone w procesie próbkowania systemów podatkowych. Test należy przeprowadzić w oparciu o Portal (w przeglądarce internetowej na komputerze PC oraz poprzez stronę </w:t>
            </w:r>
            <w:proofErr w:type="spellStart"/>
            <w:r w:rsidRPr="00975AB9">
              <w:rPr>
                <w:rFonts w:ascii="Times New Roman" w:hAnsi="Times New Roman" w:cs="Times New Roman"/>
              </w:rPr>
              <w:t>responsywną</w:t>
            </w:r>
            <w:proofErr w:type="spellEnd"/>
            <w:r w:rsidRPr="00975AB9">
              <w:rPr>
                <w:rFonts w:ascii="Times New Roman" w:hAnsi="Times New Roman" w:cs="Times New Roman"/>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Default"/>
              <w:widowControl w:val="0"/>
              <w:rPr>
                <w:rFonts w:ascii="Times New Roman" w:hAnsi="Times New Roman" w:cs="Times New Roman"/>
                <w:color w:val="auto"/>
                <w:sz w:val="22"/>
                <w:szCs w:val="22"/>
              </w:rPr>
            </w:pPr>
          </w:p>
        </w:tc>
      </w:tr>
      <w:tr w:rsidR="003C6408" w:rsidRPr="00975AB9">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Akapitzlist"/>
              <w:widowControl w:val="0"/>
              <w:numPr>
                <w:ilvl w:val="0"/>
                <w:numId w:val="5"/>
              </w:numPr>
              <w:spacing w:before="0" w:after="0" w:line="240" w:lineRule="auto"/>
              <w:ind w:left="0" w:firstLine="0"/>
              <w:rPr>
                <w:rFonts w:ascii="Times New Roman" w:hAnsi="Times New Roman" w:cs="Times New Roman"/>
              </w:rPr>
            </w:pPr>
          </w:p>
        </w:tc>
        <w:tc>
          <w:tcPr>
            <w:tcW w:w="7984"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AB0F79">
            <w:pPr>
              <w:widowControl w:val="0"/>
              <w:spacing w:before="0" w:after="0" w:line="240" w:lineRule="auto"/>
              <w:rPr>
                <w:rFonts w:ascii="Times New Roman" w:hAnsi="Times New Roman" w:cs="Times New Roman"/>
              </w:rPr>
            </w:pPr>
            <w:r w:rsidRPr="00975AB9">
              <w:rPr>
                <w:rFonts w:ascii="Times New Roman" w:hAnsi="Times New Roman" w:cs="Times New Roman"/>
              </w:rPr>
              <w:t>Wizualizacja danych podatkowych w zakresie łącznego zobowiązania obejmująca dane dotyczące gruntów i nieruchomości (powierzchnie, rodzaje i klasy).</w:t>
            </w:r>
          </w:p>
          <w:p w:rsidR="003C6408" w:rsidRPr="00975AB9" w:rsidRDefault="00AB0F79">
            <w:pPr>
              <w:widowControl w:val="0"/>
              <w:spacing w:before="0" w:after="0" w:line="240" w:lineRule="auto"/>
              <w:rPr>
                <w:rFonts w:ascii="Times New Roman" w:hAnsi="Times New Roman" w:cs="Times New Roman"/>
              </w:rPr>
            </w:pPr>
            <w:r w:rsidRPr="00975AB9">
              <w:rPr>
                <w:rFonts w:ascii="Times New Roman" w:hAnsi="Times New Roman" w:cs="Times New Roman"/>
              </w:rPr>
              <w:t>Wizualizacja danych dotyczących wyliczonych kwot podatku oraz pobranie wystawionej decyzji w formacie PDF.</w:t>
            </w:r>
          </w:p>
          <w:p w:rsidR="003C6408" w:rsidRPr="00975AB9" w:rsidRDefault="00AB0F79">
            <w:pPr>
              <w:widowControl w:val="0"/>
              <w:spacing w:before="0" w:after="0" w:line="240" w:lineRule="auto"/>
              <w:rPr>
                <w:rFonts w:ascii="Times New Roman" w:hAnsi="Times New Roman" w:cs="Times New Roman"/>
              </w:rPr>
            </w:pPr>
            <w:r w:rsidRPr="00975AB9">
              <w:rPr>
                <w:rFonts w:ascii="Times New Roman" w:hAnsi="Times New Roman" w:cs="Times New Roman"/>
              </w:rPr>
              <w:t>Podgląd kwot, rat i terminów płatności.</w:t>
            </w:r>
          </w:p>
          <w:p w:rsidR="003C6408" w:rsidRPr="00975AB9" w:rsidRDefault="00AB0F79">
            <w:pPr>
              <w:widowControl w:val="0"/>
              <w:spacing w:before="0" w:after="0" w:line="240" w:lineRule="auto"/>
              <w:rPr>
                <w:rFonts w:ascii="Times New Roman" w:hAnsi="Times New Roman" w:cs="Times New Roman"/>
              </w:rPr>
            </w:pPr>
            <w:r w:rsidRPr="00975AB9">
              <w:rPr>
                <w:rFonts w:ascii="Times New Roman" w:hAnsi="Times New Roman" w:cs="Times New Roman"/>
              </w:rPr>
              <w:t>Na przykładzie jednej z kartotek Wykonawca powinien pokazać także wyświetlenie informacji o nieopłaconych należnościach podatkowych pochodzących z lat ubiegłych.</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widowControl w:val="0"/>
              <w:spacing w:before="0" w:after="0" w:line="240" w:lineRule="auto"/>
              <w:rPr>
                <w:rFonts w:ascii="Times New Roman" w:hAnsi="Times New Roman" w:cs="Times New Roman"/>
              </w:rPr>
            </w:pPr>
            <w:bookmarkStart w:id="0" w:name="_GoBack"/>
            <w:bookmarkEnd w:id="0"/>
          </w:p>
        </w:tc>
      </w:tr>
      <w:tr w:rsidR="003C6408" w:rsidRPr="00975AB9">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Akapitzlist"/>
              <w:widowControl w:val="0"/>
              <w:numPr>
                <w:ilvl w:val="0"/>
                <w:numId w:val="5"/>
              </w:numPr>
              <w:spacing w:before="0" w:after="0" w:line="240" w:lineRule="auto"/>
              <w:ind w:left="0" w:firstLine="0"/>
              <w:rPr>
                <w:rFonts w:ascii="Times New Roman" w:hAnsi="Times New Roman" w:cs="Times New Roman"/>
              </w:rPr>
            </w:pPr>
          </w:p>
        </w:tc>
        <w:tc>
          <w:tcPr>
            <w:tcW w:w="7984"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AB0F79">
            <w:pPr>
              <w:widowControl w:val="0"/>
              <w:spacing w:before="0" w:after="0" w:line="240" w:lineRule="auto"/>
              <w:rPr>
                <w:rFonts w:ascii="Times New Roman" w:hAnsi="Times New Roman" w:cs="Times New Roman"/>
              </w:rPr>
            </w:pPr>
            <w:r w:rsidRPr="00975AB9">
              <w:rPr>
                <w:rFonts w:ascii="Times New Roman" w:hAnsi="Times New Roman" w:cs="Times New Roman"/>
              </w:rPr>
              <w:t>Wizualizacja danych dotyczących opłaty za gospodarowanie odpadami obejmująca dane dotyczące wysokości miesięcznej opłaty wraz z podziałem na raty i terminy płatności oraz informacji o ilości zadeklarowanych osób i sposobie segregacji.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widowControl w:val="0"/>
              <w:spacing w:before="0" w:after="0" w:line="240" w:lineRule="auto"/>
              <w:rPr>
                <w:rFonts w:ascii="Times New Roman" w:hAnsi="Times New Roman" w:cs="Times New Roman"/>
              </w:rPr>
            </w:pPr>
          </w:p>
        </w:tc>
      </w:tr>
      <w:tr w:rsidR="003C6408" w:rsidRPr="00975AB9">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Akapitzlist"/>
              <w:widowControl w:val="0"/>
              <w:numPr>
                <w:ilvl w:val="0"/>
                <w:numId w:val="5"/>
              </w:numPr>
              <w:spacing w:before="0" w:after="0" w:line="240" w:lineRule="auto"/>
              <w:ind w:left="0" w:firstLine="0"/>
              <w:rPr>
                <w:rFonts w:ascii="Times New Roman" w:hAnsi="Times New Roman" w:cs="Times New Roman"/>
              </w:rPr>
            </w:pPr>
          </w:p>
        </w:tc>
        <w:tc>
          <w:tcPr>
            <w:tcW w:w="7984"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AB0F79">
            <w:pPr>
              <w:widowControl w:val="0"/>
              <w:spacing w:before="0" w:after="0" w:line="240" w:lineRule="auto"/>
              <w:rPr>
                <w:rFonts w:ascii="Times New Roman" w:hAnsi="Times New Roman" w:cs="Times New Roman"/>
              </w:rPr>
            </w:pPr>
            <w:r w:rsidRPr="00975AB9">
              <w:rPr>
                <w:rFonts w:ascii="Times New Roman" w:hAnsi="Times New Roman" w:cs="Times New Roman"/>
              </w:rPr>
              <w:t>Wizualizacja danych dotyczących podatku od środków transportu obejmująca zadeklarowane pojazdy (numer rejestracyjny oraz rodzaj pojazdu) oraz należne kwoty podatku.</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widowControl w:val="0"/>
              <w:spacing w:before="0" w:after="0" w:line="240" w:lineRule="auto"/>
              <w:rPr>
                <w:rFonts w:ascii="Times New Roman" w:hAnsi="Times New Roman" w:cs="Times New Roman"/>
              </w:rPr>
            </w:pPr>
          </w:p>
        </w:tc>
      </w:tr>
      <w:tr w:rsidR="003C6408" w:rsidRPr="00975AB9">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Default"/>
              <w:widowControl w:val="0"/>
              <w:numPr>
                <w:ilvl w:val="0"/>
                <w:numId w:val="5"/>
              </w:numPr>
              <w:ind w:left="0" w:firstLine="0"/>
              <w:rPr>
                <w:rFonts w:ascii="Times New Roman" w:hAnsi="Times New Roman" w:cs="Times New Roman"/>
                <w:color w:val="auto"/>
                <w:sz w:val="22"/>
                <w:szCs w:val="22"/>
              </w:rPr>
            </w:pPr>
          </w:p>
        </w:tc>
        <w:tc>
          <w:tcPr>
            <w:tcW w:w="7984"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AB0F79">
            <w:pPr>
              <w:pStyle w:val="Default"/>
              <w:widowControl w:val="0"/>
              <w:rPr>
                <w:rFonts w:ascii="Times New Roman" w:hAnsi="Times New Roman" w:cs="Times New Roman"/>
                <w:color w:val="auto"/>
                <w:sz w:val="22"/>
                <w:szCs w:val="22"/>
              </w:rPr>
            </w:pPr>
            <w:r w:rsidRPr="00975AB9">
              <w:rPr>
                <w:rFonts w:ascii="Times New Roman" w:hAnsi="Times New Roman" w:cs="Times New Roman"/>
                <w:color w:val="auto"/>
                <w:sz w:val="22"/>
                <w:szCs w:val="22"/>
              </w:rPr>
              <w:t>Wizualizacja kartotek należności podatkowych uwzględniająca zapisy w systemie księgowości należności i zobowiązań z możliwością określenia należności do zapłaty (wybór konkretnych niezapłaconych rat podatku) i wywołanie systemu płatniczego. (realizacja samej płatności w systemie płatniczym nie będzie przedmiotem próbkowania).</w:t>
            </w:r>
          </w:p>
          <w:p w:rsidR="003C6408" w:rsidRPr="00975AB9" w:rsidRDefault="00AB0F79">
            <w:pPr>
              <w:widowControl w:val="0"/>
              <w:spacing w:before="0" w:after="0" w:line="240" w:lineRule="auto"/>
              <w:rPr>
                <w:rFonts w:ascii="Times New Roman" w:hAnsi="Times New Roman" w:cs="Times New Roman"/>
              </w:rPr>
            </w:pPr>
            <w:r w:rsidRPr="00975AB9">
              <w:rPr>
                <w:rFonts w:ascii="Times New Roman" w:hAnsi="Times New Roman" w:cs="Times New Roman"/>
              </w:rPr>
              <w:t>Wizualizacja powinna objąć swym zakresem kwoty zobowiązań, terminy płatności, saldo zobowiązania, wyliczone należne odsetki na dzień dokonania wpłaty oraz numer rachunku, na który ma być dokonana wpłata. Numer rachunku powinien być zgodny z indywidualnym numerem NRB w systemie księgowym.</w:t>
            </w:r>
          </w:p>
          <w:p w:rsidR="003C6408" w:rsidRPr="00975AB9" w:rsidRDefault="00AB0F79">
            <w:pPr>
              <w:pStyle w:val="Default"/>
              <w:widowControl w:val="0"/>
              <w:rPr>
                <w:rFonts w:ascii="Times New Roman" w:hAnsi="Times New Roman" w:cs="Times New Roman"/>
                <w:color w:val="auto"/>
                <w:sz w:val="22"/>
                <w:szCs w:val="22"/>
              </w:rPr>
            </w:pPr>
            <w:r w:rsidRPr="00975AB9">
              <w:rPr>
                <w:rFonts w:ascii="Times New Roman" w:hAnsi="Times New Roman" w:cs="Times New Roman"/>
                <w:color w:val="auto"/>
                <w:sz w:val="22"/>
                <w:szCs w:val="22"/>
              </w:rPr>
              <w:t>Test należy przeprowadzić w oparciu o Portal (</w:t>
            </w:r>
            <w:r w:rsidRPr="00975AB9">
              <w:rPr>
                <w:rFonts w:ascii="Times New Roman" w:hAnsi="Times New Roman" w:cs="Times New Roman"/>
                <w:sz w:val="22"/>
                <w:szCs w:val="22"/>
              </w:rPr>
              <w:t xml:space="preserve">w przeglądarce internetowej na komputerze PC oraz poprzez stronę </w:t>
            </w:r>
            <w:proofErr w:type="spellStart"/>
            <w:r w:rsidRPr="00975AB9">
              <w:rPr>
                <w:rFonts w:ascii="Times New Roman" w:hAnsi="Times New Roman" w:cs="Times New Roman"/>
                <w:sz w:val="22"/>
                <w:szCs w:val="22"/>
              </w:rPr>
              <w:t>responsywną</w:t>
            </w:r>
            <w:proofErr w:type="spellEnd"/>
            <w:r w:rsidRPr="00975AB9">
              <w:rPr>
                <w:rFonts w:ascii="Times New Roman" w:hAnsi="Times New Roman" w:cs="Times New Roman"/>
                <w:sz w:val="22"/>
                <w:szCs w:val="22"/>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Default"/>
              <w:widowControl w:val="0"/>
              <w:rPr>
                <w:rFonts w:ascii="Times New Roman" w:hAnsi="Times New Roman" w:cs="Times New Roman"/>
                <w:color w:val="auto"/>
                <w:sz w:val="22"/>
                <w:szCs w:val="22"/>
              </w:rPr>
            </w:pPr>
          </w:p>
        </w:tc>
      </w:tr>
      <w:tr w:rsidR="003C6408" w:rsidRPr="00975AB9">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Default"/>
              <w:widowControl w:val="0"/>
              <w:numPr>
                <w:ilvl w:val="0"/>
                <w:numId w:val="5"/>
              </w:numPr>
              <w:ind w:left="0" w:firstLine="0"/>
              <w:rPr>
                <w:rFonts w:ascii="Times New Roman" w:hAnsi="Times New Roman" w:cs="Times New Roman"/>
                <w:color w:val="auto"/>
                <w:sz w:val="22"/>
                <w:szCs w:val="22"/>
              </w:rPr>
            </w:pPr>
          </w:p>
        </w:tc>
        <w:tc>
          <w:tcPr>
            <w:tcW w:w="7984"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AB0F79">
            <w:pPr>
              <w:pStyle w:val="Default"/>
              <w:widowControl w:val="0"/>
              <w:rPr>
                <w:rFonts w:ascii="Times New Roman" w:hAnsi="Times New Roman" w:cs="Times New Roman"/>
                <w:color w:val="auto"/>
                <w:sz w:val="22"/>
                <w:szCs w:val="22"/>
              </w:rPr>
            </w:pPr>
            <w:r w:rsidRPr="00975AB9">
              <w:rPr>
                <w:rFonts w:ascii="Times New Roman" w:hAnsi="Times New Roman" w:cs="Times New Roman"/>
                <w:color w:val="auto"/>
                <w:sz w:val="22"/>
                <w:szCs w:val="22"/>
              </w:rPr>
              <w:t xml:space="preserve">Wizualizacja informacji o </w:t>
            </w:r>
            <w:r w:rsidRPr="00975AB9">
              <w:rPr>
                <w:rFonts w:ascii="Times New Roman" w:hAnsi="Times New Roman" w:cs="Times New Roman"/>
                <w:sz w:val="22"/>
                <w:szCs w:val="22"/>
              </w:rPr>
              <w:t xml:space="preserve">rozrachunkach </w:t>
            </w:r>
            <w:r w:rsidRPr="00975AB9">
              <w:rPr>
                <w:rFonts w:ascii="Times New Roman" w:hAnsi="Times New Roman" w:cs="Times New Roman"/>
                <w:color w:val="auto"/>
                <w:sz w:val="22"/>
                <w:szCs w:val="22"/>
              </w:rPr>
              <w:t>na poszczególnych kartotekach minimum w zakresie: data wystawienia/powstania zobowiązania, termin płatności, kwoty do zapłaty, należnych odsetek.</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C6408" w:rsidRPr="00975AB9" w:rsidRDefault="003C6408">
            <w:pPr>
              <w:pStyle w:val="Default"/>
              <w:widowControl w:val="0"/>
              <w:rPr>
                <w:rFonts w:ascii="Times New Roman" w:hAnsi="Times New Roman" w:cs="Times New Roman"/>
                <w:color w:val="auto"/>
                <w:sz w:val="22"/>
                <w:szCs w:val="22"/>
              </w:rPr>
            </w:pPr>
          </w:p>
        </w:tc>
      </w:tr>
    </w:tbl>
    <w:p w:rsidR="003C6408" w:rsidRPr="00975AB9" w:rsidRDefault="003C6408">
      <w:pPr>
        <w:rPr>
          <w:rFonts w:ascii="Times New Roman" w:hAnsi="Times New Roman" w:cs="Times New Roman"/>
        </w:rPr>
      </w:pPr>
    </w:p>
    <w:p w:rsidR="003C6408" w:rsidRPr="00975AB9" w:rsidRDefault="003C6408">
      <w:pPr>
        <w:rPr>
          <w:rFonts w:ascii="Times New Roman" w:hAnsi="Times New Roman" w:cs="Times New Roman"/>
        </w:rPr>
      </w:pPr>
    </w:p>
    <w:p w:rsidR="003C6408" w:rsidRPr="00975AB9" w:rsidRDefault="003C6408">
      <w:pPr>
        <w:rPr>
          <w:rFonts w:ascii="Times New Roman" w:hAnsi="Times New Roman" w:cs="Times New Roman"/>
        </w:rPr>
      </w:pPr>
    </w:p>
    <w:p w:rsidR="003C6408" w:rsidRPr="00975AB9" w:rsidRDefault="00AB0F79">
      <w:pPr>
        <w:pStyle w:val="Heading2"/>
        <w:numPr>
          <w:ilvl w:val="1"/>
          <w:numId w:val="4"/>
        </w:numPr>
        <w:rPr>
          <w:rFonts w:ascii="Times New Roman" w:hAnsi="Times New Roman" w:cs="Times New Roman"/>
          <w:sz w:val="22"/>
          <w:szCs w:val="22"/>
        </w:rPr>
      </w:pPr>
      <w:r w:rsidRPr="00975AB9">
        <w:rPr>
          <w:rFonts w:ascii="Times New Roman" w:hAnsi="Times New Roman" w:cs="Times New Roman"/>
          <w:sz w:val="22"/>
          <w:szCs w:val="22"/>
        </w:rPr>
        <w:lastRenderedPageBreak/>
        <w:t>Podatki, finanse i księgowość</w:t>
      </w:r>
    </w:p>
    <w:tbl>
      <w:tblPr>
        <w:tblW w:w="9062" w:type="dxa"/>
        <w:tblInd w:w="113" w:type="dxa"/>
        <w:tblLayout w:type="fixed"/>
        <w:tblLook w:val="04A0"/>
      </w:tblPr>
      <w:tblGrid>
        <w:gridCol w:w="525"/>
        <w:gridCol w:w="7126"/>
        <w:gridCol w:w="1411"/>
      </w:tblGrid>
      <w:tr w:rsidR="003C6408" w:rsidRPr="00975AB9">
        <w:trPr>
          <w:trHeight w:val="2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rsidR="003C6408" w:rsidRPr="00975AB9" w:rsidRDefault="00AB0F79">
            <w:pPr>
              <w:widowControl w:val="0"/>
              <w:numPr>
                <w:ilvl w:val="0"/>
                <w:numId w:val="7"/>
              </w:numPr>
              <w:spacing w:before="0" w:after="0"/>
              <w:rPr>
                <w:rFonts w:ascii="Times New Roman" w:hAnsi="Times New Roman" w:cs="Times New Roman"/>
                <w:b/>
              </w:rPr>
            </w:pPr>
            <w:r w:rsidRPr="00975AB9">
              <w:rPr>
                <w:rFonts w:ascii="Times New Roman" w:hAnsi="Times New Roman" w:cs="Times New Roman"/>
                <w:b/>
              </w:rPr>
              <w:t>Ewidencja podatkowa – podatek: rolny, od nieruchomości, leśny</w:t>
            </w: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Lp.</w:t>
            </w:r>
          </w:p>
        </w:tc>
        <w:tc>
          <w:tcPr>
            <w:tcW w:w="712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Zakres prezentacji</w:t>
            </w:r>
          </w:p>
        </w:tc>
        <w:tc>
          <w:tcPr>
            <w:tcW w:w="141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Wynik testu</w:t>
            </w:r>
          </w:p>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spełnienie wymogów</w:t>
            </w:r>
          </w:p>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TAK/NIE</w:t>
            </w: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1.</w:t>
            </w:r>
          </w:p>
        </w:tc>
        <w:tc>
          <w:tcPr>
            <w:tcW w:w="7126"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wspólnej ewidencji kart podatkowych dla wszystkich rodzajów podatków z uwzględnieniem podziału ewidencji na ewidencję osób fizycznych i prawnych oraz podział na obręby podatkowe i numeracja kart w ich obrębie.</w:t>
            </w:r>
          </w:p>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możliwości wyboru grup kart w zakresie sposobu opodatkowania (podatek rolny, leśny, od nieruchomości, łączne zobowiązanie).</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2.</w:t>
            </w:r>
          </w:p>
        </w:tc>
        <w:tc>
          <w:tcPr>
            <w:tcW w:w="7126"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możliwości naliczania podatku rolnego wg hektarów fizycznych i przeliczeniowych. Prezentacja zmiany sposobu opodatkowania w roku podatkowym (zmiana nie powinna wymuszać założenia nowej karty, a jedynie wprowadzenia daty, od której ma nastąpić zmiana sposobu jego naliczania).</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3.</w:t>
            </w:r>
          </w:p>
        </w:tc>
        <w:tc>
          <w:tcPr>
            <w:tcW w:w="7126"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możliwości łączenia kart podatkowych i ich automatycznego scalania zarówno przez wywołanie „ręczne” funkcji scalającej jak i scalenie wszystkich pozycji powiązanych przy opcji zamknięcia roku podatkowego. Karta po scaleniu powinna zawierać przedmioty opodatkowania znajdujące się na wszystkich powiązanych kartach.</w:t>
            </w:r>
          </w:p>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Użytkownik określa nadrzędną kartę do której będą przeniesione dane z kart podrzędnych.</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4.</w:t>
            </w:r>
          </w:p>
        </w:tc>
        <w:tc>
          <w:tcPr>
            <w:tcW w:w="7126"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Naliczenie zmian w wysokości podatku i wydanie stosownej decyzji z uwzględnieniem przeliczania zmian do lat ubiegłych i wydanie stosownych decyzji.</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5.</w:t>
            </w:r>
          </w:p>
        </w:tc>
        <w:tc>
          <w:tcPr>
            <w:tcW w:w="7126"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zastosowania kodów kreskowych we wzorach wydruków (kod kreskowy powinien zawierać identyfikację płatnika, kwoty wpłaty, identyfikację zobowiązania).</w:t>
            </w:r>
          </w:p>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możliwości zastosowania w wydrukach indywidualnych numerów rachunków bankowych dla obsługi płatności masowych.</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6.</w:t>
            </w:r>
          </w:p>
        </w:tc>
        <w:tc>
          <w:tcPr>
            <w:tcW w:w="7126"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Zapis decyzji podatkowej w formacie PDF.</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7.</w:t>
            </w:r>
          </w:p>
        </w:tc>
        <w:tc>
          <w:tcPr>
            <w:tcW w:w="7126"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Modyfikacja standardowego wzoru wydruku oraz wprowadzenie własnego wzoru z wykorzystaniem formatu RTF i z uwzględnieniem automatycznego wypełniania wydruku danymi z programu.</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8.</w:t>
            </w:r>
          </w:p>
        </w:tc>
        <w:tc>
          <w:tcPr>
            <w:tcW w:w="7126"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Wydanie zaświadczenia z wielu kart na jednym wydruku.</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rPr>
          <w:trHeight w:val="20"/>
        </w:trPr>
        <w:tc>
          <w:tcPr>
            <w:tcW w:w="525"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9.</w:t>
            </w:r>
          </w:p>
        </w:tc>
        <w:tc>
          <w:tcPr>
            <w:tcW w:w="7126"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obsługi indywidualnych numerów rachunków bankowych, na które będą dokonywać wpłaty podatnicy. Prezentacja możliwości dostosowania ww. rozwiązania do wymogów bankowych płatności masowych.</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bl>
    <w:p w:rsidR="003C6408" w:rsidRPr="00975AB9" w:rsidRDefault="003C6408">
      <w:pPr>
        <w:rPr>
          <w:rFonts w:ascii="Times New Roman" w:hAnsi="Times New Roman" w:cs="Times New Roman"/>
        </w:rPr>
      </w:pPr>
    </w:p>
    <w:tbl>
      <w:tblPr>
        <w:tblW w:w="9062" w:type="dxa"/>
        <w:tblInd w:w="113" w:type="dxa"/>
        <w:tblLayout w:type="fixed"/>
        <w:tblLook w:val="04A0"/>
      </w:tblPr>
      <w:tblGrid>
        <w:gridCol w:w="512"/>
        <w:gridCol w:w="7139"/>
        <w:gridCol w:w="1411"/>
      </w:tblGrid>
      <w:tr w:rsidR="003C6408" w:rsidRPr="00975AB9">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rsidR="003C6408" w:rsidRPr="00975AB9" w:rsidRDefault="00AB0F79">
            <w:pPr>
              <w:widowControl w:val="0"/>
              <w:numPr>
                <w:ilvl w:val="0"/>
                <w:numId w:val="7"/>
              </w:numPr>
              <w:spacing w:before="0" w:after="0"/>
              <w:rPr>
                <w:rFonts w:ascii="Times New Roman" w:hAnsi="Times New Roman" w:cs="Times New Roman"/>
                <w:b/>
              </w:rPr>
            </w:pPr>
            <w:r w:rsidRPr="00975AB9">
              <w:rPr>
                <w:rFonts w:ascii="Times New Roman" w:hAnsi="Times New Roman" w:cs="Times New Roman"/>
                <w:b/>
              </w:rPr>
              <w:t>Księgowanie należności z tytułu podatków i opłat</w:t>
            </w:r>
          </w:p>
        </w:tc>
      </w:tr>
      <w:tr w:rsidR="003C6408" w:rsidRPr="00975AB9">
        <w:tc>
          <w:tcPr>
            <w:tcW w:w="51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Lp.</w:t>
            </w:r>
          </w:p>
        </w:tc>
        <w:tc>
          <w:tcPr>
            <w:tcW w:w="713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Zakres prezentacji</w:t>
            </w:r>
          </w:p>
        </w:tc>
        <w:tc>
          <w:tcPr>
            <w:tcW w:w="141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Wynik testu</w:t>
            </w:r>
          </w:p>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spełnienie wymogów</w:t>
            </w:r>
          </w:p>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TAK/NIE</w:t>
            </w:r>
          </w:p>
        </w:tc>
      </w:tr>
      <w:tr w:rsidR="003C6408" w:rsidRPr="00975AB9">
        <w:tc>
          <w:tcPr>
            <w:tcW w:w="512"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lastRenderedPageBreak/>
              <w:t>1.</w:t>
            </w:r>
          </w:p>
        </w:tc>
        <w:tc>
          <w:tcPr>
            <w:tcW w:w="713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Wizualizacja karty kontowej podatnika. Poszczególnym kartom opłat z wymiaru muszą odpowiadać konta w module finansowo-księgowym. Zapis operacji księgowych na kontach podatników z uwzględnieniem odpowiednich stron WINIEN, MA. Wizualizacja danych na koncie w układzie paragrafów budżetowych.</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c>
          <w:tcPr>
            <w:tcW w:w="512"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2.</w:t>
            </w:r>
          </w:p>
        </w:tc>
        <w:tc>
          <w:tcPr>
            <w:tcW w:w="713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Automatyczne zarejestrowanie wpłaty z modułu kasowego.</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c>
          <w:tcPr>
            <w:tcW w:w="512"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3.</w:t>
            </w:r>
          </w:p>
        </w:tc>
        <w:tc>
          <w:tcPr>
            <w:tcW w:w="713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Automatyczne zarejestrowanie wpłat na podstawie elektronicznego wyciągu bankowego przy uruchomieniu indywidualnych rachunków bankowych w module wymiarowym.</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c>
          <w:tcPr>
            <w:tcW w:w="512"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4.</w:t>
            </w:r>
          </w:p>
        </w:tc>
        <w:tc>
          <w:tcPr>
            <w:tcW w:w="713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Konfiguracja wzoru wydruku tytułu wykonawczego.</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c>
          <w:tcPr>
            <w:tcW w:w="512"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6.</w:t>
            </w:r>
          </w:p>
        </w:tc>
        <w:tc>
          <w:tcPr>
            <w:tcW w:w="713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współpracy z czytnikiem kodów kreskowych w zakresie identyfikacji podatnika i automatycznego wprowadzania dowodów wpłat sygnowanych kodami.</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c>
          <w:tcPr>
            <w:tcW w:w="512"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7.</w:t>
            </w:r>
          </w:p>
        </w:tc>
        <w:tc>
          <w:tcPr>
            <w:tcW w:w="713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Zbiorcze przeksięgowanie nadpłat początkowych na należności bieżące z uwzględnieniem odpowiedniego zapisu na paragrafach budżetowych.</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c>
          <w:tcPr>
            <w:tcW w:w="512"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8.</w:t>
            </w:r>
          </w:p>
        </w:tc>
        <w:tc>
          <w:tcPr>
            <w:tcW w:w="713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integracji z modułem finansowo-księgowym w zakresie przesyłania noty księgowej do modułu finansowo-księgowego.</w:t>
            </w:r>
          </w:p>
        </w:tc>
        <w:tc>
          <w:tcPr>
            <w:tcW w:w="1411"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bl>
    <w:p w:rsidR="003C6408" w:rsidRPr="00975AB9" w:rsidRDefault="003C6408">
      <w:pPr>
        <w:rPr>
          <w:rFonts w:ascii="Times New Roman" w:hAnsi="Times New Roman" w:cs="Times New Roman"/>
        </w:rPr>
      </w:pPr>
    </w:p>
    <w:tbl>
      <w:tblPr>
        <w:tblW w:w="9062" w:type="dxa"/>
        <w:tblInd w:w="113" w:type="dxa"/>
        <w:tblLayout w:type="fixed"/>
        <w:tblLook w:val="04A0"/>
      </w:tblPr>
      <w:tblGrid>
        <w:gridCol w:w="541"/>
        <w:gridCol w:w="7109"/>
        <w:gridCol w:w="1412"/>
      </w:tblGrid>
      <w:tr w:rsidR="003C6408" w:rsidRPr="00975AB9">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rsidR="003C6408" w:rsidRPr="00975AB9" w:rsidRDefault="00AB0F79">
            <w:pPr>
              <w:widowControl w:val="0"/>
              <w:numPr>
                <w:ilvl w:val="0"/>
                <w:numId w:val="7"/>
              </w:numPr>
              <w:spacing w:before="0" w:after="0"/>
              <w:rPr>
                <w:rFonts w:ascii="Times New Roman" w:hAnsi="Times New Roman" w:cs="Times New Roman"/>
                <w:b/>
              </w:rPr>
            </w:pPr>
            <w:r w:rsidRPr="00975AB9">
              <w:rPr>
                <w:rFonts w:ascii="Times New Roman" w:hAnsi="Times New Roman" w:cs="Times New Roman"/>
                <w:b/>
              </w:rPr>
              <w:t>Obsługa opłaty z tytułu gospodarowania odpadami komunalnymi</w:t>
            </w:r>
          </w:p>
        </w:tc>
      </w:tr>
      <w:tr w:rsidR="003C6408" w:rsidRPr="00975AB9">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Lp.</w:t>
            </w:r>
          </w:p>
        </w:tc>
        <w:tc>
          <w:tcPr>
            <w:tcW w:w="710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Zakres prezentacji</w:t>
            </w:r>
          </w:p>
        </w:tc>
        <w:tc>
          <w:tcPr>
            <w:tcW w:w="141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Wynik testu</w:t>
            </w:r>
          </w:p>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spełnienie wymogów</w:t>
            </w:r>
          </w:p>
          <w:p w:rsidR="003C6408" w:rsidRPr="00975AB9" w:rsidRDefault="00AB0F79">
            <w:pPr>
              <w:widowControl w:val="0"/>
              <w:spacing w:before="0" w:after="0"/>
              <w:jc w:val="center"/>
              <w:rPr>
                <w:rFonts w:ascii="Times New Roman" w:hAnsi="Times New Roman" w:cs="Times New Roman"/>
                <w:b/>
              </w:rPr>
            </w:pPr>
            <w:r w:rsidRPr="00975AB9">
              <w:rPr>
                <w:rFonts w:ascii="Times New Roman" w:hAnsi="Times New Roman" w:cs="Times New Roman"/>
                <w:b/>
              </w:rPr>
              <w:t>TAK/NIE</w:t>
            </w:r>
          </w:p>
        </w:tc>
      </w:tr>
      <w:tr w:rsidR="003C6408" w:rsidRPr="00975AB9">
        <w:tc>
          <w:tcPr>
            <w:tcW w:w="541"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1.</w:t>
            </w:r>
          </w:p>
        </w:tc>
        <w:tc>
          <w:tcPr>
            <w:tcW w:w="710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 xml:space="preserve">Założenie nowej kartoteki w systemie na podstawie elektronicznej deklaracji zgodnej z wymogami platformy </w:t>
            </w:r>
            <w:proofErr w:type="spellStart"/>
            <w:r w:rsidRPr="00975AB9">
              <w:rPr>
                <w:rFonts w:ascii="Times New Roman" w:hAnsi="Times New Roman" w:cs="Times New Roman"/>
              </w:rPr>
              <w:t>ePUAP</w:t>
            </w:r>
            <w:proofErr w:type="spellEnd"/>
            <w:r w:rsidRPr="00975AB9">
              <w:rPr>
                <w:rFonts w:ascii="Times New Roman" w:hAnsi="Times New Roman" w:cs="Times New Roman"/>
              </w:rPr>
              <w:t>.</w:t>
            </w:r>
          </w:p>
        </w:tc>
        <w:tc>
          <w:tcPr>
            <w:tcW w:w="141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c>
          <w:tcPr>
            <w:tcW w:w="541"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2.</w:t>
            </w:r>
          </w:p>
        </w:tc>
        <w:tc>
          <w:tcPr>
            <w:tcW w:w="710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kartoteki danych personalnych podatnika wspólnej z modułem podatkowym, kasowym i finansowo-księgowym.</w:t>
            </w:r>
          </w:p>
        </w:tc>
        <w:tc>
          <w:tcPr>
            <w:tcW w:w="141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c>
          <w:tcPr>
            <w:tcW w:w="541"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3.</w:t>
            </w:r>
          </w:p>
        </w:tc>
        <w:tc>
          <w:tcPr>
            <w:tcW w:w="710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możliwości edycji formy i treści wydruku informacji o wysokości opłaty, decyzji ustalającej wysokość opłaty z wykorzystaniem indywidualnych rachunków bankowych.</w:t>
            </w:r>
          </w:p>
        </w:tc>
        <w:tc>
          <w:tcPr>
            <w:tcW w:w="141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r w:rsidR="003C6408" w:rsidRPr="00975AB9">
        <w:tc>
          <w:tcPr>
            <w:tcW w:w="541" w:type="dxa"/>
            <w:tcBorders>
              <w:top w:val="single" w:sz="4" w:space="0" w:color="000000"/>
              <w:left w:val="single" w:sz="4" w:space="0" w:color="000000"/>
              <w:bottom w:val="single" w:sz="4" w:space="0" w:color="000000"/>
              <w:right w:val="single" w:sz="4" w:space="0" w:color="000000"/>
            </w:tcBorders>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4.</w:t>
            </w:r>
          </w:p>
        </w:tc>
        <w:tc>
          <w:tcPr>
            <w:tcW w:w="7109"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before="0" w:after="0"/>
              <w:rPr>
                <w:rFonts w:ascii="Times New Roman" w:hAnsi="Times New Roman" w:cs="Times New Roman"/>
              </w:rPr>
            </w:pPr>
            <w:r w:rsidRPr="00975AB9">
              <w:rPr>
                <w:rFonts w:ascii="Times New Roman" w:hAnsi="Times New Roman" w:cs="Times New Roman"/>
              </w:rPr>
              <w:t>Prezentacja możliwości naliczania opłat z uwzględnieniem podziału na raty, w zależności od konfiguracji (miesięczne, dwumiesięczne, trzymiesięczne).</w:t>
            </w:r>
          </w:p>
        </w:tc>
        <w:tc>
          <w:tcPr>
            <w:tcW w:w="141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before="0" w:after="0"/>
              <w:rPr>
                <w:rFonts w:ascii="Times New Roman" w:hAnsi="Times New Roman" w:cs="Times New Roman"/>
              </w:rPr>
            </w:pPr>
          </w:p>
        </w:tc>
      </w:tr>
    </w:tbl>
    <w:p w:rsidR="003C6408" w:rsidRPr="00975AB9" w:rsidRDefault="003C6408">
      <w:pPr>
        <w:rPr>
          <w:rFonts w:ascii="Times New Roman" w:hAnsi="Times New Roman" w:cs="Times New Roman"/>
        </w:rPr>
      </w:pPr>
    </w:p>
    <w:tbl>
      <w:tblPr>
        <w:tblW w:w="9062" w:type="dxa"/>
        <w:tblInd w:w="113" w:type="dxa"/>
        <w:tblLayout w:type="fixed"/>
        <w:tblLook w:val="04A0"/>
      </w:tblPr>
      <w:tblGrid>
        <w:gridCol w:w="560"/>
        <w:gridCol w:w="7130"/>
        <w:gridCol w:w="1372"/>
      </w:tblGrid>
      <w:tr w:rsidR="003C6408" w:rsidRPr="00975AB9">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rsidR="003C6408" w:rsidRPr="00975AB9" w:rsidRDefault="00AB0F79">
            <w:pPr>
              <w:widowControl w:val="0"/>
              <w:numPr>
                <w:ilvl w:val="0"/>
                <w:numId w:val="7"/>
              </w:numPr>
              <w:spacing w:before="0" w:after="0"/>
              <w:contextualSpacing/>
              <w:rPr>
                <w:rFonts w:ascii="Times New Roman" w:hAnsi="Times New Roman" w:cs="Times New Roman"/>
                <w:b/>
              </w:rPr>
            </w:pPr>
            <w:r w:rsidRPr="00975AB9">
              <w:rPr>
                <w:rFonts w:ascii="Times New Roman" w:hAnsi="Times New Roman" w:cs="Times New Roman"/>
                <w:b/>
              </w:rPr>
              <w:t>Obsługa finansowo – księgowa</w:t>
            </w:r>
          </w:p>
        </w:tc>
      </w:tr>
      <w:tr w:rsidR="003C6408" w:rsidRPr="00975AB9">
        <w:tc>
          <w:tcPr>
            <w:tcW w:w="56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after="0"/>
              <w:contextualSpacing/>
              <w:jc w:val="center"/>
              <w:rPr>
                <w:rFonts w:ascii="Times New Roman" w:hAnsi="Times New Roman" w:cs="Times New Roman"/>
                <w:b/>
              </w:rPr>
            </w:pPr>
            <w:r w:rsidRPr="00975AB9">
              <w:rPr>
                <w:rFonts w:ascii="Times New Roman" w:hAnsi="Times New Roman" w:cs="Times New Roman"/>
                <w:b/>
              </w:rPr>
              <w:t>Lp.</w:t>
            </w:r>
          </w:p>
        </w:tc>
        <w:tc>
          <w:tcPr>
            <w:tcW w:w="713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after="0"/>
              <w:contextualSpacing/>
              <w:jc w:val="center"/>
              <w:rPr>
                <w:rFonts w:ascii="Times New Roman" w:hAnsi="Times New Roman" w:cs="Times New Roman"/>
                <w:b/>
              </w:rPr>
            </w:pPr>
            <w:r w:rsidRPr="00975AB9">
              <w:rPr>
                <w:rFonts w:ascii="Times New Roman" w:hAnsi="Times New Roman" w:cs="Times New Roman"/>
                <w:b/>
              </w:rPr>
              <w:t>Zakres prezentacji</w:t>
            </w:r>
          </w:p>
        </w:tc>
        <w:tc>
          <w:tcPr>
            <w:tcW w:w="137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C6408" w:rsidRPr="00975AB9" w:rsidRDefault="00AB0F79">
            <w:pPr>
              <w:widowControl w:val="0"/>
              <w:spacing w:after="0"/>
              <w:contextualSpacing/>
              <w:jc w:val="center"/>
              <w:rPr>
                <w:rFonts w:ascii="Times New Roman" w:hAnsi="Times New Roman" w:cs="Times New Roman"/>
                <w:b/>
              </w:rPr>
            </w:pPr>
            <w:r w:rsidRPr="00975AB9">
              <w:rPr>
                <w:rFonts w:ascii="Times New Roman" w:hAnsi="Times New Roman" w:cs="Times New Roman"/>
                <w:b/>
              </w:rPr>
              <w:t>Wynik testu</w:t>
            </w:r>
          </w:p>
          <w:p w:rsidR="003C6408" w:rsidRPr="00975AB9" w:rsidRDefault="00AB0F79">
            <w:pPr>
              <w:widowControl w:val="0"/>
              <w:spacing w:after="0"/>
              <w:contextualSpacing/>
              <w:jc w:val="center"/>
              <w:rPr>
                <w:rFonts w:ascii="Times New Roman" w:hAnsi="Times New Roman" w:cs="Times New Roman"/>
                <w:b/>
              </w:rPr>
            </w:pPr>
            <w:r w:rsidRPr="00975AB9">
              <w:rPr>
                <w:rFonts w:ascii="Times New Roman" w:hAnsi="Times New Roman" w:cs="Times New Roman"/>
                <w:b/>
              </w:rPr>
              <w:t>spełnienie wymogów</w:t>
            </w:r>
          </w:p>
          <w:p w:rsidR="003C6408" w:rsidRPr="00975AB9" w:rsidRDefault="00AB0F79">
            <w:pPr>
              <w:widowControl w:val="0"/>
              <w:spacing w:after="0"/>
              <w:contextualSpacing/>
              <w:jc w:val="center"/>
              <w:rPr>
                <w:rFonts w:ascii="Times New Roman" w:hAnsi="Times New Roman" w:cs="Times New Roman"/>
                <w:b/>
              </w:rPr>
            </w:pPr>
            <w:r w:rsidRPr="00975AB9">
              <w:rPr>
                <w:rFonts w:ascii="Times New Roman" w:hAnsi="Times New Roman" w:cs="Times New Roman"/>
                <w:b/>
              </w:rPr>
              <w:t>TAK/NIE</w:t>
            </w: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Dekretacja dokumentu kosztowego poprzez mechanizm podzielnika (10%/20%/30%/40%) wskazanie konta kosztowego Wn-401 oraz konta kontrahenta Ma-201 oraz czterech klasyfikacji które będą odzwierciedlały testowany model podziału, automatyczne wygenerowanie czterech dekretacji kosztowych oraz dekretacji pozabilansowych – Ma-998 zaangażowanie środków RB. Prezentacja wyniku dekretacji:</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 kwot na kontach planu kont oraz klasyfikacji budżetowej (koszty i zaangażowanie RB);</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lastRenderedPageBreak/>
              <w:t>- kwoty na rozrachunkach jako zestawienie danych w układzie grupowania wg kontrahenta, konta i klasyfikacji budżetowych.</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Dekretacja pozycji wyciągu bankowego - konto Ma-130 (rozliczenie wcześniej naliczonych zobowiązań) poprzez zastosowanie mechanizmu rozliczającego kwoty zobowiązań wobec kontrahenta Wn-201.</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Wprowadzenie kwoty przelewu i rozrachunków które rozlicza. Automatyczne wygenerowanie dekretów wydatkowych oraz dekretacji pozabilansowych – Ma-980 realizacja planu WB; Wn-998 realizacja zaangażowania RB. Automatyczne rozliczanie rozrachunków.</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Prezentacja wyniku dekretacji:</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 kwot na kontach planu kont oraz klasyfikacji budżetowej (wydatki, realizacja planu WB, realizacja zaangażowania RB);</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 kwoty na rozrachunkach jako zestawienie danych w układzie grupowania wg kontrahenta, konta i klasyfikacji budżetowych;</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 kwoty na sprawozdaniu RB-28S: wartość wydatków i zaangażowania RB.</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Spójna prezentacja stanu realizacji budżetu, stan na wybrany miesiąc z możliwością zmiany okresu (w układzie tabeli danych) w zakresie:</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wydatki: plan, wydatki narastająco, różnica plan do wydatków, realizacja miesięczna (za bieżący miesiąc), % wydatków do planu, koszty narastająco, koszty miesięczne (za wybrany miesiąc), % kosztów do planu, zaangażowanie RB narastająco, zaangażowanie RB miesięcznie (za bieżący miesiąc), % zaangażowania do planu, realizacja planu WB, realizacja zaangażowania RB;</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dochody: plan, dochody narastająco, różnica plan do dochodów, realizacja miesięczna (za bieżący miesiąc), % dochodów do planu, należności narastająco, przypis narastająco, odpis narastająco.</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Prezentowane dane zgromadzone w formie drzewa danych z możliwością wyodrębnienia co najmniej takich obszarów jak: dział, rozdział, paragraf, analityka paragrafu.</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Prezentacja mechanizmu pozwalającego na automatyczną zmianę struktury kont analitycznych w środku roku obrotowego wraz z uzupełnieniem analityki pozycji dokumentów roku objętego modyfikacją o wybraną domyślną  wartość.</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 xml:space="preserve">Prezentacja mechanizmów określających sposób naliczania sprawozdania </w:t>
            </w:r>
            <w:proofErr w:type="spellStart"/>
            <w:r w:rsidRPr="00975AB9">
              <w:rPr>
                <w:rFonts w:ascii="Times New Roman" w:hAnsi="Times New Roman" w:cs="Times New Roman"/>
              </w:rPr>
              <w:t>Rb-N</w:t>
            </w:r>
            <w:proofErr w:type="spellEnd"/>
            <w:r w:rsidRPr="00975AB9">
              <w:rPr>
                <w:rFonts w:ascii="Times New Roman" w:hAnsi="Times New Roman" w:cs="Times New Roman"/>
              </w:rPr>
              <w:t xml:space="preserve"> na przykładzie wybranego konta. Wprowadzenie definicji dla konta 130 określającej przynależność do grupy „banki” oraz wiersza sprawozdania „N3.2 depozyty na żądanie”, przyporządkowanie do wskazanej komórki salda </w:t>
            </w:r>
            <w:proofErr w:type="spellStart"/>
            <w:r w:rsidRPr="00975AB9">
              <w:rPr>
                <w:rFonts w:ascii="Times New Roman" w:hAnsi="Times New Roman" w:cs="Times New Roman"/>
              </w:rPr>
              <w:t>Wn</w:t>
            </w:r>
            <w:proofErr w:type="spellEnd"/>
            <w:r w:rsidRPr="00975AB9">
              <w:rPr>
                <w:rFonts w:ascii="Times New Roman" w:hAnsi="Times New Roman" w:cs="Times New Roman"/>
              </w:rPr>
              <w:t xml:space="preserve"> wynikającego z zapisów na koncie.</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 xml:space="preserve">Prezentacja tak zdefiniowanych danych na sprawozdaniu </w:t>
            </w:r>
            <w:proofErr w:type="spellStart"/>
            <w:r w:rsidRPr="00975AB9">
              <w:rPr>
                <w:rFonts w:ascii="Times New Roman" w:hAnsi="Times New Roman" w:cs="Times New Roman"/>
              </w:rPr>
              <w:t>Rb-N</w:t>
            </w:r>
            <w:proofErr w:type="spellEnd"/>
            <w:r w:rsidRPr="00975AB9">
              <w:rPr>
                <w:rFonts w:ascii="Times New Roman" w:hAnsi="Times New Roman" w:cs="Times New Roman"/>
              </w:rPr>
              <w:t>.</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Wprowadzenie dokumentu zakupu (faktury) w systemie finansowo – księgowym.</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Wykonanie dekretacji kosztowej dokumentu.</w:t>
            </w:r>
          </w:p>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Przygotowanie przelewu elektronicznego (format elixir-0) bazując na ww. danych – dane zapisać do pliku.</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 xml:space="preserve">Wystawić fakturę sprzedaży i wydrukować do formatu </w:t>
            </w:r>
            <w:proofErr w:type="spellStart"/>
            <w:r w:rsidRPr="00975AB9">
              <w:rPr>
                <w:rFonts w:ascii="Times New Roman" w:hAnsi="Times New Roman" w:cs="Times New Roman"/>
              </w:rPr>
              <w:t>pdf</w:t>
            </w:r>
            <w:proofErr w:type="spellEnd"/>
            <w:r w:rsidRPr="00975AB9">
              <w:rPr>
                <w:rFonts w:ascii="Times New Roman" w:hAnsi="Times New Roman" w:cs="Times New Roman"/>
              </w:rPr>
              <w:t>.</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 xml:space="preserve">Zdefiniowanie nowej grupy opłat – np. wieczyste użytkowanie, określenie parametrów globalnych określających cykliczność oraz termin płatności, </w:t>
            </w:r>
            <w:r w:rsidRPr="00975AB9">
              <w:rPr>
                <w:rFonts w:ascii="Times New Roman" w:hAnsi="Times New Roman" w:cs="Times New Roman"/>
              </w:rPr>
              <w:lastRenderedPageBreak/>
              <w:t>zdefiniowanie schematów księgowych określających sposób z dekretacji naliczeń.</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Założenie kartoteki opłaty – wieczyste użytkowanie.</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Prezentacja mechanizmu definiowania dekretacji dla naliczeń opłaty z określonymi stawkami (indeksami) na rzecz wystawienia dokumentu.</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Naliczanie opłaty rocznej zgodnie ze zdefiniowanymi parametrami kartoteki.</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Wystawienie dokumentu do wykonanego naliczenia z automatycznym umieszczeniem jej w centralnym rejestrze sprzedaży.</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Modyfikacja ręczna opisu dokumentu dla wybranego naliczenia, wydruk tak zmodyfikowanej treści z poziomu kartoteki opłaty.</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Wysłanie dokumentu e-mailem do kontrahenta na adres e-mailowy wprowadzony w kartotece kontrahentów, bezpośrednio z modułu ewidencjonującego opłaty.</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r w:rsidR="003C6408" w:rsidRPr="00975AB9">
        <w:tc>
          <w:tcPr>
            <w:tcW w:w="560" w:type="dxa"/>
            <w:tcBorders>
              <w:top w:val="single" w:sz="4" w:space="0" w:color="000000"/>
              <w:left w:val="single" w:sz="4" w:space="0" w:color="000000"/>
              <w:bottom w:val="single" w:sz="4" w:space="0" w:color="000000"/>
              <w:right w:val="single" w:sz="4" w:space="0" w:color="000000"/>
            </w:tcBorders>
          </w:tcPr>
          <w:p w:rsidR="003C6408" w:rsidRPr="00975AB9" w:rsidRDefault="003C6408">
            <w:pPr>
              <w:pStyle w:val="Akapitzlist"/>
              <w:widowControl w:val="0"/>
              <w:numPr>
                <w:ilvl w:val="0"/>
                <w:numId w:val="8"/>
              </w:numPr>
              <w:spacing w:after="0"/>
              <w:ind w:left="0" w:firstLine="0"/>
              <w:rPr>
                <w:rFonts w:ascii="Times New Roman" w:hAnsi="Times New Roman" w:cs="Times New Roman"/>
              </w:rPr>
            </w:pPr>
          </w:p>
        </w:tc>
        <w:tc>
          <w:tcPr>
            <w:tcW w:w="7130" w:type="dxa"/>
            <w:tcBorders>
              <w:top w:val="single" w:sz="4" w:space="0" w:color="000000"/>
              <w:left w:val="single" w:sz="4" w:space="0" w:color="000000"/>
              <w:bottom w:val="single" w:sz="4" w:space="0" w:color="000000"/>
              <w:right w:val="single" w:sz="4" w:space="0" w:color="000000"/>
            </w:tcBorders>
            <w:vAlign w:val="center"/>
          </w:tcPr>
          <w:p w:rsidR="003C6408" w:rsidRPr="00975AB9" w:rsidRDefault="00AB0F79">
            <w:pPr>
              <w:widowControl w:val="0"/>
              <w:spacing w:after="0"/>
              <w:contextualSpacing/>
              <w:rPr>
                <w:rFonts w:ascii="Times New Roman" w:hAnsi="Times New Roman" w:cs="Times New Roman"/>
              </w:rPr>
            </w:pPr>
            <w:r w:rsidRPr="00975AB9">
              <w:rPr>
                <w:rFonts w:ascii="Times New Roman" w:hAnsi="Times New Roman" w:cs="Times New Roman"/>
              </w:rPr>
              <w:t>Wykonanie dekretacji wystawionej faktury wg zdefiniowanej dekretacji.</w:t>
            </w:r>
          </w:p>
        </w:tc>
        <w:tc>
          <w:tcPr>
            <w:tcW w:w="1372" w:type="dxa"/>
            <w:tcBorders>
              <w:top w:val="single" w:sz="4" w:space="0" w:color="000000"/>
              <w:left w:val="single" w:sz="4" w:space="0" w:color="000000"/>
              <w:bottom w:val="single" w:sz="4" w:space="0" w:color="000000"/>
              <w:right w:val="single" w:sz="4" w:space="0" w:color="000000"/>
            </w:tcBorders>
          </w:tcPr>
          <w:p w:rsidR="003C6408" w:rsidRPr="00975AB9" w:rsidRDefault="003C6408">
            <w:pPr>
              <w:widowControl w:val="0"/>
              <w:spacing w:after="0"/>
              <w:contextualSpacing/>
              <w:rPr>
                <w:rFonts w:ascii="Times New Roman" w:hAnsi="Times New Roman" w:cs="Times New Roman"/>
              </w:rPr>
            </w:pPr>
          </w:p>
        </w:tc>
      </w:tr>
    </w:tbl>
    <w:p w:rsidR="003C6408" w:rsidRDefault="003C6408">
      <w:pPr>
        <w:rPr>
          <w:rFonts w:ascii="Times New Roman" w:hAnsi="Times New Roman" w:cs="Times New Roman"/>
        </w:rPr>
      </w:pPr>
    </w:p>
    <w:p w:rsidR="00257C3E" w:rsidRDefault="00257C3E">
      <w:pPr>
        <w:rPr>
          <w:rFonts w:ascii="Times New Roman" w:hAnsi="Times New Roman" w:cs="Times New Roman"/>
        </w:rPr>
      </w:pPr>
    </w:p>
    <w:p w:rsidR="00257C3E" w:rsidRDefault="00257C3E" w:rsidP="00257C3E">
      <w:pPr>
        <w:spacing w:line="360" w:lineRule="auto"/>
        <w:jc w:val="both"/>
        <w:rPr>
          <w:rFonts w:ascii="Times New Roman" w:hAnsi="Times New Roman" w:cs="Times New Roman"/>
          <w:b/>
          <w:sz w:val="21"/>
          <w:szCs w:val="21"/>
        </w:rPr>
      </w:pPr>
      <w:r>
        <w:rPr>
          <w:rFonts w:ascii="Times New Roman" w:hAnsi="Times New Roman" w:cs="Times New Roman"/>
          <w:b/>
          <w:bCs/>
          <w:i/>
          <w:color w:val="FF0000"/>
          <w:u w:val="single"/>
        </w:rPr>
        <w:t>Dokument należy złożyć w formie elektronicznej lub w postaci elektronicznej opatrzonej podpisem zaufanym lub elektronicznym  podpisem osobistym przez osobę lub osoby uprawnione  do reprezentowania Wykonawcy/ Wykonawców.</w:t>
      </w:r>
    </w:p>
    <w:p w:rsidR="00257C3E" w:rsidRPr="00975AB9" w:rsidRDefault="00257C3E">
      <w:pPr>
        <w:rPr>
          <w:rFonts w:ascii="Times New Roman" w:hAnsi="Times New Roman" w:cs="Times New Roman"/>
        </w:rPr>
      </w:pPr>
    </w:p>
    <w:sectPr w:rsidR="00257C3E" w:rsidRPr="00975AB9" w:rsidSect="00975AB9">
      <w:headerReference w:type="default" r:id="rId7"/>
      <w:footerReference w:type="default" r:id="rId8"/>
      <w:pgSz w:w="11906" w:h="16838"/>
      <w:pgMar w:top="2097" w:right="851" w:bottom="851" w:left="851" w:header="284" w:footer="709"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27" w:rsidRDefault="00217927" w:rsidP="003C6408">
      <w:pPr>
        <w:spacing w:before="0" w:after="0" w:line="240" w:lineRule="auto"/>
      </w:pPr>
      <w:r>
        <w:separator/>
      </w:r>
    </w:p>
  </w:endnote>
  <w:endnote w:type="continuationSeparator" w:id="0">
    <w:p w:rsidR="00217927" w:rsidRDefault="00217927" w:rsidP="003C640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Ubuntu">
    <w:panose1 w:val="020B0504030602030204"/>
    <w:charset w:val="EE"/>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771512"/>
      <w:docPartObj>
        <w:docPartGallery w:val="Page Numbers (Bottom of Page)"/>
        <w:docPartUnique/>
      </w:docPartObj>
    </w:sdtPr>
    <w:sdtContent>
      <w:p w:rsidR="003C6408" w:rsidRDefault="00AB0F79">
        <w:pPr>
          <w:pStyle w:val="Footer"/>
          <w:jc w:val="right"/>
          <w:rPr>
            <w:rFonts w:asciiTheme="majorHAnsi" w:eastAsiaTheme="majorEastAsia" w:hAnsiTheme="majorHAnsi" w:cstheme="majorBidi"/>
          </w:rPr>
        </w:pPr>
        <w:r>
          <w:rPr>
            <w:rFonts w:asciiTheme="majorHAnsi" w:eastAsiaTheme="majorEastAsia" w:hAnsiTheme="majorHAnsi" w:cstheme="majorBidi"/>
          </w:rPr>
          <w:t xml:space="preserve">str. </w:t>
        </w:r>
        <w:r w:rsidR="00612D3E">
          <w:rPr>
            <w:rFonts w:ascii="Calibri Light" w:hAnsi="Calibri Light"/>
            <w:sz w:val="16"/>
            <w:szCs w:val="16"/>
          </w:rPr>
          <w:fldChar w:fldCharType="begin"/>
        </w:r>
        <w:r>
          <w:rPr>
            <w:rFonts w:ascii="Calibri Light" w:hAnsi="Calibri Light"/>
            <w:sz w:val="16"/>
            <w:szCs w:val="16"/>
          </w:rPr>
          <w:instrText>PAGE</w:instrText>
        </w:r>
        <w:r w:rsidR="00612D3E">
          <w:rPr>
            <w:rFonts w:ascii="Calibri Light" w:hAnsi="Calibri Light"/>
            <w:sz w:val="16"/>
            <w:szCs w:val="16"/>
          </w:rPr>
          <w:fldChar w:fldCharType="separate"/>
        </w:r>
        <w:r w:rsidR="00257C3E">
          <w:rPr>
            <w:rFonts w:ascii="Calibri Light" w:hAnsi="Calibri Light"/>
            <w:noProof/>
            <w:sz w:val="16"/>
            <w:szCs w:val="16"/>
          </w:rPr>
          <w:t>8</w:t>
        </w:r>
        <w:r w:rsidR="00612D3E">
          <w:rPr>
            <w:rFonts w:ascii="Calibri Light" w:hAnsi="Calibri Light"/>
            <w:sz w:val="16"/>
            <w:szCs w:val="16"/>
          </w:rPr>
          <w:fldChar w:fldCharType="end"/>
        </w:r>
      </w:p>
    </w:sdtContent>
  </w:sdt>
  <w:p w:rsidR="003C6408" w:rsidRDefault="003C6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27" w:rsidRDefault="00217927" w:rsidP="003C6408">
      <w:pPr>
        <w:spacing w:before="0" w:after="0" w:line="240" w:lineRule="auto"/>
      </w:pPr>
      <w:r>
        <w:separator/>
      </w:r>
    </w:p>
  </w:footnote>
  <w:footnote w:type="continuationSeparator" w:id="0">
    <w:p w:rsidR="00217927" w:rsidRDefault="00217927" w:rsidP="003C640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B9" w:rsidRDefault="00975AB9" w:rsidP="00975AB9">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extent cx="5076825" cy="533400"/>
          <wp:effectExtent l="0" t="0" r="9525"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533400"/>
                  </a:xfrm>
                  <a:prstGeom prst="rect">
                    <a:avLst/>
                  </a:prstGeom>
                  <a:noFill/>
                  <a:ln>
                    <a:noFill/>
                  </a:ln>
                </pic:spPr>
              </pic:pic>
            </a:graphicData>
          </a:graphic>
        </wp:inline>
      </w:drawing>
    </w:r>
  </w:p>
  <w:p w:rsidR="003C6408" w:rsidRPr="00975AB9" w:rsidRDefault="00975AB9" w:rsidP="00975AB9">
    <w:pPr>
      <w:tabs>
        <w:tab w:val="center" w:pos="7655"/>
        <w:tab w:val="right" w:pos="9072"/>
      </w:tabs>
      <w:spacing w:after="0" w:line="240" w:lineRule="auto"/>
      <w:jc w:val="center"/>
      <w:rPr>
        <w:rFonts w:ascii="Calibri" w:eastAsia="Ubuntu" w:hAnsi="Calibri" w:cs="Calibri"/>
        <w:i/>
        <w:sz w:val="20"/>
        <w:szCs w:val="20"/>
      </w:rPr>
    </w:pPr>
    <w:r>
      <w:rPr>
        <w:rFonts w:ascii="Calibri" w:eastAsia="Ubuntu" w:hAnsi="Calibri" w:cs="Calibri"/>
        <w:i/>
        <w:sz w:val="20"/>
        <w:szCs w:val="20"/>
      </w:rPr>
      <w:t>Sfinansowano w ramach reakcji Unii na pandemię COVID-19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20B"/>
    <w:multiLevelType w:val="multilevel"/>
    <w:tmpl w:val="C930D42E"/>
    <w:lvl w:ilvl="0">
      <w:start w:val="1"/>
      <w:numFmt w:val="decimal"/>
      <w:lvlText w:val="%1."/>
      <w:lvlJc w:val="left"/>
      <w:pPr>
        <w:tabs>
          <w:tab w:val="num" w:pos="0"/>
        </w:tabs>
        <w:ind w:left="360" w:hanging="360"/>
      </w:pPr>
      <w:rPr>
        <w:rFonts w:ascii="Calibri" w:hAnsi="Calibri" w:cs="Calibri"/>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30637E16"/>
    <w:multiLevelType w:val="multilevel"/>
    <w:tmpl w:val="A5AAFB6A"/>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31D030CD"/>
    <w:multiLevelType w:val="multilevel"/>
    <w:tmpl w:val="DC08CCFC"/>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3FC22441"/>
    <w:multiLevelType w:val="multilevel"/>
    <w:tmpl w:val="F768FC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A9159AE"/>
    <w:multiLevelType w:val="multilevel"/>
    <w:tmpl w:val="56962EB0"/>
    <w:lvl w:ilvl="0">
      <w:start w:val="1"/>
      <w:numFmt w:val="decimal"/>
      <w:lvlText w:val="%1."/>
      <w:lvlJc w:val="left"/>
      <w:pPr>
        <w:tabs>
          <w:tab w:val="num" w:pos="0"/>
        </w:tabs>
        <w:ind w:left="720" w:hanging="360"/>
      </w:pPr>
      <w:rPr>
        <w:rFonts w:ascii="Calibri" w:hAnsi="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4661874"/>
    <w:multiLevelType w:val="multilevel"/>
    <w:tmpl w:val="C1DE0A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F2736B2"/>
    <w:multiLevelType w:val="multilevel"/>
    <w:tmpl w:val="1B38B92A"/>
    <w:lvl w:ilvl="0">
      <w:start w:val="1"/>
      <w:numFmt w:val="decimal"/>
      <w:lvlText w:val="%1."/>
      <w:lvlJc w:val="left"/>
      <w:pPr>
        <w:tabs>
          <w:tab w:val="num" w:pos="0"/>
        </w:tabs>
        <w:ind w:left="705" w:hanging="70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6C733C9C"/>
    <w:multiLevelType w:val="multilevel"/>
    <w:tmpl w:val="FFA893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7FF357EA"/>
    <w:multiLevelType w:val="multilevel"/>
    <w:tmpl w:val="F992E22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3C6408"/>
    <w:rsid w:val="00217927"/>
    <w:rsid w:val="00257C3E"/>
    <w:rsid w:val="003C6408"/>
    <w:rsid w:val="00612D3E"/>
    <w:rsid w:val="00975AB9"/>
    <w:rsid w:val="00AB0F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25A"/>
    <w:pPr>
      <w:spacing w:before="120" w:after="12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
    <w:qFormat/>
    <w:rsid w:val="000143E3"/>
    <w:pPr>
      <w:keepNext/>
      <w:keepLines/>
      <w:spacing w:before="80" w:after="80"/>
      <w:outlineLvl w:val="0"/>
    </w:pPr>
    <w:rPr>
      <w:rFonts w:asciiTheme="majorHAnsi" w:eastAsiaTheme="majorEastAsia" w:hAnsiTheme="majorHAnsi" w:cstheme="majorBidi"/>
      <w:color w:val="2F5496" w:themeColor="accent1" w:themeShade="BF"/>
      <w:sz w:val="26"/>
      <w:szCs w:val="32"/>
    </w:rPr>
  </w:style>
  <w:style w:type="paragraph" w:customStyle="1" w:styleId="Heading2">
    <w:name w:val="Heading 2"/>
    <w:basedOn w:val="Normalny"/>
    <w:next w:val="Normalny"/>
    <w:link w:val="Nagwek2Znak"/>
    <w:uiPriority w:val="9"/>
    <w:unhideWhenUsed/>
    <w:qFormat/>
    <w:rsid w:val="00EE24DA"/>
    <w:pPr>
      <w:keepNext/>
      <w:keepLines/>
      <w:spacing w:before="40" w:after="40"/>
      <w:outlineLvl w:val="1"/>
    </w:pPr>
    <w:rPr>
      <w:rFonts w:asciiTheme="majorHAnsi" w:eastAsiaTheme="majorEastAsia" w:hAnsiTheme="majorHAnsi" w:cstheme="majorBidi"/>
      <w:color w:val="2F5496" w:themeColor="accent1" w:themeShade="BF"/>
      <w:sz w:val="24"/>
      <w:szCs w:val="26"/>
    </w:rPr>
  </w:style>
  <w:style w:type="paragraph" w:customStyle="1" w:styleId="Heading3">
    <w:name w:val="Heading 3"/>
    <w:basedOn w:val="Normalny"/>
    <w:next w:val="Normalny"/>
    <w:link w:val="Nagwek3Znak"/>
    <w:uiPriority w:val="9"/>
    <w:unhideWhenUsed/>
    <w:qFormat/>
    <w:rsid w:val="009924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
    <w:name w:val="Heading 4"/>
    <w:basedOn w:val="Normalny"/>
    <w:next w:val="Normalny"/>
    <w:link w:val="Nagwek4Znak"/>
    <w:uiPriority w:val="9"/>
    <w:unhideWhenUsed/>
    <w:qFormat/>
    <w:rsid w:val="009924CF"/>
    <w:pPr>
      <w:keepNext/>
      <w:keepLines/>
      <w:spacing w:before="40" w:after="0"/>
      <w:outlineLvl w:val="3"/>
    </w:pPr>
    <w:rPr>
      <w:rFonts w:asciiTheme="majorHAnsi" w:eastAsiaTheme="majorEastAsia" w:hAnsiTheme="majorHAnsi" w:cstheme="majorBidi"/>
      <w:i/>
      <w:iCs/>
      <w:color w:val="2F5496" w:themeColor="accent1" w:themeShade="BF"/>
    </w:rPr>
  </w:style>
  <w:style w:type="character" w:customStyle="1" w:styleId="TytuZnak">
    <w:name w:val="Tytuł Znak"/>
    <w:basedOn w:val="Domylnaczcionkaakapitu"/>
    <w:link w:val="Tytu"/>
    <w:uiPriority w:val="10"/>
    <w:qFormat/>
    <w:rsid w:val="007B02E6"/>
    <w:rPr>
      <w:rFonts w:asciiTheme="majorHAnsi" w:eastAsiaTheme="majorEastAsia" w:hAnsiTheme="majorHAnsi" w:cstheme="majorBidi"/>
      <w:spacing w:val="-10"/>
      <w:kern w:val="2"/>
      <w:sz w:val="56"/>
      <w:szCs w:val="56"/>
    </w:rPr>
  </w:style>
  <w:style w:type="character" w:customStyle="1" w:styleId="Nagwek1Znak">
    <w:name w:val="Nagłówek 1 Znak"/>
    <w:basedOn w:val="Domylnaczcionkaakapitu"/>
    <w:link w:val="Heading1"/>
    <w:uiPriority w:val="9"/>
    <w:qFormat/>
    <w:rsid w:val="000143E3"/>
    <w:rPr>
      <w:rFonts w:asciiTheme="majorHAnsi" w:eastAsiaTheme="majorEastAsia" w:hAnsiTheme="majorHAnsi" w:cstheme="majorBidi"/>
      <w:color w:val="2F5496" w:themeColor="accent1" w:themeShade="BF"/>
      <w:sz w:val="26"/>
      <w:szCs w:val="32"/>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CC48CA"/>
  </w:style>
  <w:style w:type="character" w:styleId="Wyrnienieintensywne">
    <w:name w:val="Intense Emphasis"/>
    <w:basedOn w:val="Domylnaczcionkaakapitu"/>
    <w:uiPriority w:val="21"/>
    <w:qFormat/>
    <w:rsid w:val="00B9725A"/>
    <w:rPr>
      <w:i/>
      <w:iCs/>
      <w:color w:val="4472C4" w:themeColor="accent1"/>
    </w:rPr>
  </w:style>
  <w:style w:type="character" w:styleId="Odwoaniedokomentarza">
    <w:name w:val="annotation reference"/>
    <w:basedOn w:val="Domylnaczcionkaakapitu"/>
    <w:uiPriority w:val="99"/>
    <w:unhideWhenUsed/>
    <w:qFormat/>
    <w:rsid w:val="00B9725A"/>
    <w:rPr>
      <w:sz w:val="16"/>
      <w:szCs w:val="16"/>
    </w:rPr>
  </w:style>
  <w:style w:type="character" w:customStyle="1" w:styleId="TekstkomentarzaZnak">
    <w:name w:val="Tekst komentarza Znak"/>
    <w:basedOn w:val="Domylnaczcionkaakapitu"/>
    <w:link w:val="Tekstkomentarza"/>
    <w:uiPriority w:val="99"/>
    <w:qFormat/>
    <w:rsid w:val="00B9725A"/>
    <w:rPr>
      <w:sz w:val="20"/>
      <w:szCs w:val="20"/>
    </w:rPr>
  </w:style>
  <w:style w:type="character" w:customStyle="1" w:styleId="TematkomentarzaZnak">
    <w:name w:val="Temat komentarza Znak"/>
    <w:basedOn w:val="TekstkomentarzaZnak"/>
    <w:link w:val="Tematkomentarza"/>
    <w:uiPriority w:val="99"/>
    <w:semiHidden/>
    <w:qFormat/>
    <w:rsid w:val="00B9725A"/>
    <w:rPr>
      <w:b/>
      <w:bCs/>
      <w:sz w:val="20"/>
      <w:szCs w:val="20"/>
    </w:rPr>
  </w:style>
  <w:style w:type="character" w:customStyle="1" w:styleId="TekstdymkaZnak">
    <w:name w:val="Tekst dymka Znak"/>
    <w:basedOn w:val="Domylnaczcionkaakapitu"/>
    <w:link w:val="Tekstdymka"/>
    <w:uiPriority w:val="99"/>
    <w:semiHidden/>
    <w:qFormat/>
    <w:rsid w:val="00B9725A"/>
    <w:rPr>
      <w:rFonts w:ascii="Segoe UI" w:hAnsi="Segoe UI" w:cs="Segoe UI"/>
      <w:sz w:val="18"/>
      <w:szCs w:val="18"/>
    </w:rPr>
  </w:style>
  <w:style w:type="character" w:customStyle="1" w:styleId="NagwekZnak">
    <w:name w:val="Nagłówek Znak"/>
    <w:basedOn w:val="Domylnaczcionkaakapitu"/>
    <w:link w:val="Nagwek"/>
    <w:uiPriority w:val="99"/>
    <w:qFormat/>
    <w:rsid w:val="00E27F96"/>
  </w:style>
  <w:style w:type="character" w:customStyle="1" w:styleId="StopkaZnak">
    <w:name w:val="Stopka Znak"/>
    <w:basedOn w:val="Domylnaczcionkaakapitu"/>
    <w:link w:val="Footer"/>
    <w:uiPriority w:val="99"/>
    <w:qFormat/>
    <w:rsid w:val="00E27F96"/>
  </w:style>
  <w:style w:type="character" w:customStyle="1" w:styleId="Nagwek2Znak">
    <w:name w:val="Nagłówek 2 Znak"/>
    <w:basedOn w:val="Domylnaczcionkaakapitu"/>
    <w:link w:val="Heading2"/>
    <w:uiPriority w:val="9"/>
    <w:qFormat/>
    <w:rsid w:val="00EE24DA"/>
    <w:rPr>
      <w:rFonts w:asciiTheme="majorHAnsi" w:eastAsiaTheme="majorEastAsia" w:hAnsiTheme="majorHAnsi" w:cstheme="majorBidi"/>
      <w:color w:val="2F5496" w:themeColor="accent1" w:themeShade="BF"/>
      <w:sz w:val="24"/>
      <w:szCs w:val="26"/>
    </w:rPr>
  </w:style>
  <w:style w:type="character" w:customStyle="1" w:styleId="Nagwek3Znak">
    <w:name w:val="Nagłówek 3 Znak"/>
    <w:basedOn w:val="Domylnaczcionkaakapitu"/>
    <w:link w:val="Heading3"/>
    <w:uiPriority w:val="9"/>
    <w:qFormat/>
    <w:rsid w:val="009924C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Heading4"/>
    <w:uiPriority w:val="9"/>
    <w:qFormat/>
    <w:rsid w:val="009924CF"/>
    <w:rPr>
      <w:rFonts w:asciiTheme="majorHAnsi" w:eastAsiaTheme="majorEastAsia" w:hAnsiTheme="majorHAnsi" w:cstheme="majorBidi"/>
      <w:i/>
      <w:iCs/>
      <w:color w:val="2F5496" w:themeColor="accent1" w:themeShade="BF"/>
    </w:rPr>
  </w:style>
  <w:style w:type="character" w:styleId="Wyrnieniedelikatne">
    <w:name w:val="Subtle Emphasis"/>
    <w:basedOn w:val="Domylnaczcionkaakapitu"/>
    <w:uiPriority w:val="19"/>
    <w:qFormat/>
    <w:rsid w:val="009924CF"/>
    <w:rPr>
      <w:i/>
      <w:iCs/>
      <w:color w:val="595959" w:themeColor="text1" w:themeTint="A6"/>
    </w:rPr>
  </w:style>
  <w:style w:type="character" w:customStyle="1" w:styleId="TekstprzypisukocowegoZnak">
    <w:name w:val="Tekst przypisu końcowego Znak"/>
    <w:basedOn w:val="Domylnaczcionkaakapitu"/>
    <w:link w:val="EndnoteText"/>
    <w:uiPriority w:val="99"/>
    <w:semiHidden/>
    <w:qFormat/>
    <w:rsid w:val="007C2DBE"/>
    <w:rPr>
      <w:sz w:val="20"/>
      <w:szCs w:val="20"/>
    </w:rPr>
  </w:style>
  <w:style w:type="character" w:customStyle="1" w:styleId="Zakotwiczenieprzypisukocowego">
    <w:name w:val="Zakotwiczenie przypisu końcowego"/>
    <w:rsid w:val="003C6408"/>
    <w:rPr>
      <w:vertAlign w:val="superscript"/>
    </w:rPr>
  </w:style>
  <w:style w:type="character" w:customStyle="1" w:styleId="EndnoteCharacters">
    <w:name w:val="Endnote Characters"/>
    <w:basedOn w:val="Domylnaczcionkaakapitu"/>
    <w:uiPriority w:val="99"/>
    <w:semiHidden/>
    <w:unhideWhenUsed/>
    <w:qFormat/>
    <w:rsid w:val="007C2DBE"/>
    <w:rPr>
      <w:vertAlign w:val="superscript"/>
    </w:rPr>
  </w:style>
  <w:style w:type="character" w:customStyle="1" w:styleId="PodtytuZnak">
    <w:name w:val="Podtytuł Znak"/>
    <w:basedOn w:val="Domylnaczcionkaakapitu"/>
    <w:link w:val="Podtytu"/>
    <w:uiPriority w:val="11"/>
    <w:qFormat/>
    <w:rsid w:val="00800D01"/>
    <w:rPr>
      <w:rFonts w:eastAsiaTheme="minorEastAsia"/>
      <w:color w:val="5A5A5A" w:themeColor="text1" w:themeTint="A5"/>
      <w:spacing w:val="15"/>
    </w:rPr>
  </w:style>
  <w:style w:type="paragraph" w:styleId="Nagwek">
    <w:name w:val="header"/>
    <w:basedOn w:val="Normalny"/>
    <w:next w:val="Tekstpodstawowy"/>
    <w:link w:val="NagwekZnak"/>
    <w:uiPriority w:val="99"/>
    <w:qFormat/>
    <w:rsid w:val="003C6408"/>
    <w:pPr>
      <w:keepNext/>
      <w:spacing w:before="240"/>
    </w:pPr>
    <w:rPr>
      <w:rFonts w:ascii="Liberation Sans" w:eastAsia="Microsoft YaHei" w:hAnsi="Liberation Sans" w:cs="Arial"/>
      <w:sz w:val="28"/>
      <w:szCs w:val="28"/>
    </w:rPr>
  </w:style>
  <w:style w:type="paragraph" w:styleId="Tekstpodstawowy">
    <w:name w:val="Body Text"/>
    <w:basedOn w:val="Normalny"/>
    <w:rsid w:val="003C6408"/>
    <w:pPr>
      <w:spacing w:before="0" w:after="140" w:line="276" w:lineRule="auto"/>
    </w:pPr>
  </w:style>
  <w:style w:type="paragraph" w:styleId="Lista">
    <w:name w:val="List"/>
    <w:basedOn w:val="Tekstpodstawowy"/>
    <w:rsid w:val="003C6408"/>
    <w:rPr>
      <w:rFonts w:cs="Arial"/>
    </w:rPr>
  </w:style>
  <w:style w:type="paragraph" w:customStyle="1" w:styleId="Caption">
    <w:name w:val="Caption"/>
    <w:basedOn w:val="Normalny"/>
    <w:qFormat/>
    <w:rsid w:val="003C6408"/>
    <w:pPr>
      <w:suppressLineNumbers/>
    </w:pPr>
    <w:rPr>
      <w:rFonts w:cs="Arial"/>
      <w:i/>
      <w:iCs/>
      <w:sz w:val="24"/>
      <w:szCs w:val="24"/>
    </w:rPr>
  </w:style>
  <w:style w:type="paragraph" w:customStyle="1" w:styleId="Indeks">
    <w:name w:val="Indeks"/>
    <w:basedOn w:val="Normalny"/>
    <w:qFormat/>
    <w:rsid w:val="003C6408"/>
    <w:pPr>
      <w:suppressLineNumbers/>
    </w:pPr>
    <w:rPr>
      <w:rFonts w:cs="Arial"/>
    </w:rPr>
  </w:style>
  <w:style w:type="paragraph" w:customStyle="1" w:styleId="Gwkaistopka">
    <w:name w:val="Główka i stopka"/>
    <w:basedOn w:val="Normalny"/>
    <w:qFormat/>
    <w:rsid w:val="003C6408"/>
  </w:style>
  <w:style w:type="paragraph" w:customStyle="1" w:styleId="Header">
    <w:name w:val="Header"/>
    <w:basedOn w:val="Normalny"/>
    <w:next w:val="Tekstpodstawowy"/>
    <w:link w:val="NagwekZnak"/>
    <w:uiPriority w:val="99"/>
    <w:unhideWhenUsed/>
    <w:rsid w:val="00E27F96"/>
    <w:pPr>
      <w:tabs>
        <w:tab w:val="center" w:pos="4536"/>
        <w:tab w:val="right" w:pos="9072"/>
      </w:tabs>
      <w:spacing w:before="0" w:after="0" w:line="240" w:lineRule="auto"/>
    </w:pPr>
  </w:style>
  <w:style w:type="paragraph" w:styleId="Legenda">
    <w:name w:val="caption"/>
    <w:basedOn w:val="Normalny"/>
    <w:qFormat/>
    <w:rsid w:val="003C6408"/>
    <w:pPr>
      <w:suppressLineNumbers/>
    </w:pPr>
    <w:rPr>
      <w:rFonts w:cs="Arial"/>
      <w:i/>
      <w:iCs/>
      <w:sz w:val="24"/>
      <w:szCs w:val="24"/>
    </w:rPr>
  </w:style>
  <w:style w:type="paragraph" w:styleId="Tytu">
    <w:name w:val="Title"/>
    <w:basedOn w:val="Normalny"/>
    <w:next w:val="Normalny"/>
    <w:link w:val="TytuZnak"/>
    <w:uiPriority w:val="10"/>
    <w:qFormat/>
    <w:rsid w:val="007B02E6"/>
    <w:pPr>
      <w:spacing w:after="0" w:line="240" w:lineRule="auto"/>
      <w:contextualSpacing/>
    </w:pPr>
    <w:rPr>
      <w:rFonts w:asciiTheme="majorHAnsi" w:eastAsiaTheme="majorEastAsia" w:hAnsiTheme="majorHAnsi" w:cstheme="majorBidi"/>
      <w:spacing w:val="-10"/>
      <w:kern w:val="2"/>
      <w:sz w:val="56"/>
      <w:szCs w:val="56"/>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234A5B"/>
    <w:pPr>
      <w:ind w:left="720"/>
      <w:contextualSpacing/>
    </w:pPr>
  </w:style>
  <w:style w:type="paragraph" w:styleId="Tekstkomentarza">
    <w:name w:val="annotation text"/>
    <w:basedOn w:val="Normalny"/>
    <w:link w:val="TekstkomentarzaZnak"/>
    <w:uiPriority w:val="99"/>
    <w:unhideWhenUsed/>
    <w:qFormat/>
    <w:rsid w:val="00B9725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9725A"/>
    <w:rPr>
      <w:b/>
      <w:bCs/>
    </w:rPr>
  </w:style>
  <w:style w:type="paragraph" w:styleId="Tekstdymka">
    <w:name w:val="Balloon Text"/>
    <w:basedOn w:val="Normalny"/>
    <w:link w:val="TekstdymkaZnak"/>
    <w:uiPriority w:val="99"/>
    <w:semiHidden/>
    <w:unhideWhenUsed/>
    <w:qFormat/>
    <w:rsid w:val="00B9725A"/>
    <w:pPr>
      <w:spacing w:after="0" w:line="240" w:lineRule="auto"/>
    </w:pPr>
    <w:rPr>
      <w:rFonts w:ascii="Segoe UI" w:hAnsi="Segoe UI" w:cs="Segoe UI"/>
      <w:sz w:val="18"/>
      <w:szCs w:val="18"/>
    </w:rPr>
  </w:style>
  <w:style w:type="paragraph" w:customStyle="1" w:styleId="Footer">
    <w:name w:val="Footer"/>
    <w:basedOn w:val="Normalny"/>
    <w:link w:val="StopkaZnak"/>
    <w:uiPriority w:val="99"/>
    <w:unhideWhenUsed/>
    <w:rsid w:val="00E27F96"/>
    <w:pPr>
      <w:tabs>
        <w:tab w:val="center" w:pos="4536"/>
        <w:tab w:val="right" w:pos="9072"/>
      </w:tabs>
      <w:spacing w:before="0" w:after="0" w:line="240" w:lineRule="auto"/>
    </w:pPr>
  </w:style>
  <w:style w:type="paragraph" w:customStyle="1" w:styleId="Standard">
    <w:name w:val="Standard"/>
    <w:qFormat/>
    <w:rsid w:val="00EE24DA"/>
    <w:pPr>
      <w:widowControl w:val="0"/>
    </w:pPr>
    <w:rPr>
      <w:rFonts w:ascii="Times New Roman" w:eastAsia="SimSun" w:hAnsi="Times New Roman" w:cs="Mangal"/>
      <w:kern w:val="2"/>
      <w:sz w:val="24"/>
      <w:szCs w:val="24"/>
      <w:lang w:eastAsia="zh-CN" w:bidi="hi-IN"/>
    </w:rPr>
  </w:style>
  <w:style w:type="paragraph" w:customStyle="1" w:styleId="Default">
    <w:name w:val="Default"/>
    <w:qFormat/>
    <w:rsid w:val="007C2DBE"/>
    <w:rPr>
      <w:rFonts w:ascii="Calibri" w:eastAsia="Calibri" w:hAnsi="Calibri" w:cs="Calibri"/>
      <w:color w:val="000000"/>
      <w:sz w:val="24"/>
      <w:szCs w:val="24"/>
    </w:rPr>
  </w:style>
  <w:style w:type="paragraph" w:customStyle="1" w:styleId="EndnoteText">
    <w:name w:val="Endnote Text"/>
    <w:basedOn w:val="Normalny"/>
    <w:link w:val="TekstprzypisukocowegoZnak"/>
    <w:uiPriority w:val="99"/>
    <w:semiHidden/>
    <w:unhideWhenUsed/>
    <w:rsid w:val="007C2DBE"/>
    <w:pPr>
      <w:spacing w:before="0" w:after="0" w:line="240" w:lineRule="auto"/>
    </w:pPr>
    <w:rPr>
      <w:sz w:val="20"/>
      <w:szCs w:val="20"/>
    </w:rPr>
  </w:style>
  <w:style w:type="paragraph" w:customStyle="1" w:styleId="ListParagraphNumerowanieAkapitzlistBS">
    <w:name w:val="List Paragraph;Numerowanie;Akapit z listą BS"/>
    <w:basedOn w:val="Standard"/>
    <w:qFormat/>
    <w:rsid w:val="007C2DBE"/>
    <w:pPr>
      <w:widowControl/>
      <w:spacing w:after="200" w:line="276" w:lineRule="auto"/>
      <w:ind w:left="720"/>
    </w:pPr>
    <w:rPr>
      <w:rFonts w:ascii="Calibri" w:eastAsia="Calibri" w:hAnsi="Calibri" w:cs="Times New Roman"/>
      <w:sz w:val="22"/>
      <w:szCs w:val="22"/>
      <w:lang w:eastAsia="en-US" w:bidi="ar-SA"/>
    </w:rPr>
  </w:style>
  <w:style w:type="paragraph" w:styleId="Podtytu">
    <w:name w:val="Subtitle"/>
    <w:basedOn w:val="Normalny"/>
    <w:next w:val="Normalny"/>
    <w:link w:val="PodtytuZnak"/>
    <w:uiPriority w:val="11"/>
    <w:qFormat/>
    <w:rsid w:val="00800D01"/>
    <w:pPr>
      <w:spacing w:before="0" w:after="160"/>
    </w:pPr>
    <w:rPr>
      <w:rFonts w:eastAsiaTheme="minorEastAsia"/>
      <w:color w:val="5A5A5A" w:themeColor="text1" w:themeTint="A5"/>
      <w:spacing w:val="15"/>
    </w:rPr>
  </w:style>
  <w:style w:type="table" w:styleId="Tabela-Siatka">
    <w:name w:val="Table Grid"/>
    <w:basedOn w:val="Standardowy"/>
    <w:uiPriority w:val="39"/>
    <w:rsid w:val="00CC4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975AB9"/>
    <w:pPr>
      <w:tabs>
        <w:tab w:val="center" w:pos="4536"/>
        <w:tab w:val="right" w:pos="9072"/>
      </w:tabs>
      <w:spacing w:before="0" w:after="0" w:line="240" w:lineRule="auto"/>
    </w:pPr>
  </w:style>
  <w:style w:type="character" w:customStyle="1" w:styleId="StopkaZnak1">
    <w:name w:val="Stopka Znak1"/>
    <w:basedOn w:val="Domylnaczcionkaakapitu"/>
    <w:link w:val="Stopka"/>
    <w:uiPriority w:val="99"/>
    <w:semiHidden/>
    <w:rsid w:val="00975AB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17903</Characters>
  <Application>Microsoft Office Word</Application>
  <DocSecurity>0</DocSecurity>
  <Lines>149</Lines>
  <Paragraphs>41</Paragraphs>
  <ScaleCrop>false</ScaleCrop>
  <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Czapla</dc:creator>
  <cp:lastModifiedBy>Admin-EG</cp:lastModifiedBy>
  <cp:revision>3</cp:revision>
  <dcterms:created xsi:type="dcterms:W3CDTF">2022-10-07T10:23:00Z</dcterms:created>
  <dcterms:modified xsi:type="dcterms:W3CDTF">2022-10-10T07:42:00Z</dcterms:modified>
  <dc:language>pl-PL</dc:language>
</cp:coreProperties>
</file>